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1 – Design och integrationsguide</w:t>
      </w:r>
    </w:p>
    <w:p>
      <w:pPr>
        <w:pStyle w:val="Rubrik2"/>
        <w:spacing w:before="200" w:after="100"/>
      </w:pPr>
      <w:r>
        <w:rPr>
          <w:rFonts w:ascii="Arial" w:hAnsi="Arial" w:cs="Arial"/>
          <w:sz w:val="26"/>
          <w:szCs w:val="26"/>
          <w:b/>
          <w:bCs/>
        </w:rPr>
        <w:t>1.1 – Syfte</w:t>
      </w:r>
    </w:p>
    <w:p>
      <w:pPr>
        <w:spacing w:before="0" w:after="120"/>
      </w:pPr>
      <w:r>
        <w:rPr>
          <w:rFonts w:ascii="Arial" w:hAnsi="Arial" w:cs="Arial"/>
          <w:sz w:val="22"/>
          <w:szCs w:val="22"/>
        </w:rPr>
        <w:t xml:space="preserve">Den här guiden har tagits fram för att säkerställa bästa möjliga resultat i leveransen från </w:t>
      </w:r>
      <w:r>
        <w:rPr>
          <w:rFonts w:ascii="Arial" w:hAnsi="Arial" w:cs="Arial"/>
          <w:sz w:val="22"/>
          <w:szCs w:val="22"/>
          <w:b/>
          <w:bCs/>
        </w:rPr>
        <w:t>Kiona</w:t>
      </w:r>
      <w:r>
        <w:rPr>
          <w:rFonts w:ascii="Arial" w:hAnsi="Arial" w:cs="Arial"/>
          <w:sz w:val="22"/>
          <w:szCs w:val="22"/>
        </w:rPr>
        <w:t xml:space="preserve">. Guiden innehåller information om det underlag och den dokumentation som krävs för automationsleveransen. Leveransen inkluderar toppsystemet </w:t>
      </w:r>
      <w:r>
        <w:rPr>
          <w:rFonts w:ascii="Arial" w:hAnsi="Arial" w:cs="Arial"/>
          <w:sz w:val="22"/>
          <w:szCs w:val="22"/>
          <w:b/>
          <w:bCs/>
        </w:rPr>
        <w:t>IWMAC</w:t>
      </w:r>
      <w:r>
        <w:rPr>
          <w:rFonts w:ascii="Arial" w:hAnsi="Arial" w:cs="Arial"/>
          <w:sz w:val="22"/>
          <w:szCs w:val="22"/>
        </w:rPr>
        <w:t xml:space="preserve"> och tillhörande tilläggstjänster. Bilagorna beskriver det underlag som behövs för leveransen, med specifika detaljer för vissa anläggningstyper och protokoll.</w:t>
      </w:r>
    </w:p>
    <w:p>
      <w:pPr>
        <w:spacing w:before="0" w:after="120"/>
      </w:pPr>
      <w:r>
        <w:rPr>
          <w:rFonts w:ascii="Arial" w:hAnsi="Arial" w:cs="Arial"/>
          <w:sz w:val="22"/>
          <w:szCs w:val="22"/>
        </w:rPr>
        <w:t xml:space="preserve">Alla exempel och mallar finns också tillgängliga på webbplatserna för våra </w:t>
      </w:r>
      <w:r>
        <w:rPr>
          <w:rFonts w:ascii="Arial" w:hAnsi="Arial" w:cs="Arial"/>
          <w:sz w:val="22"/>
          <w:szCs w:val="22"/>
          <w:b/>
          <w:bCs/>
        </w:rPr>
        <w:t>Kiona</w:t>
      </w:r>
      <w:r>
        <w:rPr>
          <w:rFonts w:ascii="Arial" w:hAnsi="Arial" w:cs="Arial"/>
          <w:sz w:val="22"/>
          <w:szCs w:val="22"/>
        </w:rPr>
        <w:t>-certifierade partners.</w:t>
      </w:r>
    </w:p>
    <w:p>
      <w:pPr>
        <w:spacing w:before="0" w:after="120"/>
      </w:pPr>
      <w:r>
        <w:rPr>
          <w:rFonts w:ascii="Arial" w:hAnsi="Arial" w:cs="Arial"/>
          <w:sz w:val="22"/>
          <w:szCs w:val="22"/>
        </w:rPr>
        <w:t xml:space="preserve">Om du inte hittar en mall, kontakta din kontaktperson på sälj eller leverans hos </w:t>
      </w:r>
      <w:r>
        <w:rPr>
          <w:rFonts w:ascii="Arial" w:hAnsi="Arial" w:cs="Arial"/>
          <w:sz w:val="22"/>
          <w:szCs w:val="22"/>
          <w:b/>
          <w:bCs/>
        </w:rPr>
        <w:t>Kiona</w:t>
      </w:r>
      <w:r>
        <w:rPr>
          <w:rFonts w:ascii="Arial" w:hAnsi="Arial" w:cs="Arial"/>
          <w:sz w:val="22"/>
          <w:szCs w:val="22"/>
        </w:rPr>
        <w:t>.</w:t>
      </w:r>
    </w:p>
    <w:p>
      <w:pPr>
        <w:spacing w:after="0"/>
      </w:pPr>
    </w:p>
    <w:p>
      <w:pPr>
        <w:pStyle w:val="Rubrik2"/>
        <w:spacing w:before="200" w:after="100"/>
      </w:pPr>
      <w:r>
        <w:rPr>
          <w:rFonts w:ascii="Arial" w:hAnsi="Arial" w:cs="Arial"/>
          <w:sz w:val="26"/>
          <w:szCs w:val="26"/>
          <w:b/>
          <w:bCs/>
        </w:rPr>
        <w:t>1.2 – Nätverk/IT-infrastruktur</w:t>
      </w:r>
    </w:p>
    <w:p>
      <w:pPr>
        <w:spacing w:before="0" w:after="120"/>
      </w:pPr>
      <w:r>
        <w:rPr>
          <w:rFonts w:ascii="Arial" w:hAnsi="Arial" w:cs="Arial"/>
          <w:sz w:val="22"/>
          <w:szCs w:val="22"/>
        </w:rPr>
        <w:t xml:space="preserve">När leveransen har beställts skickas en installationsserver från </w:t>
      </w:r>
      <w:r>
        <w:rPr>
          <w:rFonts w:ascii="Arial" w:hAnsi="Arial" w:cs="Arial"/>
          <w:sz w:val="22"/>
          <w:szCs w:val="22"/>
          <w:b/>
          <w:bCs/>
        </w:rPr>
        <w:t>Kiona</w:t>
      </w:r>
      <w:r>
        <w:rPr>
          <w:rFonts w:ascii="Arial" w:hAnsi="Arial" w:cs="Arial"/>
          <w:sz w:val="22"/>
          <w:szCs w:val="22"/>
        </w:rPr>
        <w:t>. För att leveransen ska kunna starta måste kontakt etableras med den utsända installationsservern i god tid före planerad driftsättning. Börja därför med de förberedelser som krävs för att nätverket ska vara redo i tid.</w:t>
      </w:r>
    </w:p>
    <w:p>
      <w:pPr>
        <w:spacing w:before="0" w:after="120"/>
      </w:pPr>
      <w:r>
        <w:rPr>
          <w:rFonts w:ascii="Arial" w:hAnsi="Arial" w:cs="Arial"/>
          <w:sz w:val="22"/>
          <w:szCs w:val="22"/>
        </w:rPr>
        <w:t xml:space="preserve">Det är viktigt att kunden tidigt klargör med slutkunden om installationsservern ska kommunicera med </w:t>
      </w:r>
      <w:r>
        <w:rPr>
          <w:rFonts w:ascii="Arial" w:hAnsi="Arial" w:cs="Arial"/>
          <w:sz w:val="22"/>
          <w:szCs w:val="22"/>
          <w:b/>
          <w:bCs/>
        </w:rPr>
        <w:t>Kiona</w:t>
      </w:r>
      <w:r>
        <w:rPr>
          <w:rFonts w:ascii="Arial" w:hAnsi="Arial" w:cs="Arial"/>
          <w:sz w:val="22"/>
          <w:szCs w:val="22"/>
        </w:rPr>
        <w:t xml:space="preserve">-molnet via direkt internetanslutning eller VPN. När </w:t>
      </w:r>
      <w:r>
        <w:rPr>
          <w:rFonts w:ascii="Arial" w:hAnsi="Arial" w:cs="Arial"/>
          <w:sz w:val="22"/>
          <w:szCs w:val="22"/>
          <w:b/>
          <w:bCs/>
        </w:rPr>
        <w:t>Kiona</w:t>
      </w:r>
      <w:r>
        <w:rPr>
          <w:rFonts w:ascii="Arial" w:hAnsi="Arial" w:cs="Arial"/>
          <w:sz w:val="22"/>
          <w:szCs w:val="22"/>
        </w:rPr>
        <w:t xml:space="preserve"> har fått informationen från kunden beställer </w:t>
      </w:r>
      <w:r>
        <w:rPr>
          <w:rFonts w:ascii="Arial" w:hAnsi="Arial" w:cs="Arial"/>
          <w:sz w:val="22"/>
          <w:szCs w:val="22"/>
          <w:b/>
          <w:bCs/>
        </w:rPr>
        <w:t>Kiona</w:t>
      </w:r>
      <w:r>
        <w:rPr>
          <w:rFonts w:ascii="Arial" w:hAnsi="Arial" w:cs="Arial"/>
          <w:sz w:val="22"/>
          <w:szCs w:val="22"/>
        </w:rPr>
        <w:t xml:space="preserve"> rätt konfiguration från sin nätverksleverantör.</w:t>
      </w:r>
    </w:p>
    <w:p>
      <w:pPr>
        <w:spacing w:before="0" w:after="120"/>
      </w:pPr>
      <w:r>
        <w:rPr>
          <w:rFonts w:ascii="Arial" w:hAnsi="Arial" w:cs="Arial"/>
          <w:sz w:val="22"/>
          <w:szCs w:val="22"/>
        </w:rPr>
        <w:t xml:space="preserve">När leveransen påbörjas får du ett standardformulär för internetanslutning och VPN-anslutning som beskriver den information </w:t>
      </w:r>
      <w:r>
        <w:rPr>
          <w:rFonts w:ascii="Arial" w:hAnsi="Arial" w:cs="Arial"/>
          <w:sz w:val="22"/>
          <w:szCs w:val="22"/>
          <w:b/>
          <w:bCs/>
        </w:rPr>
        <w:t>Kiona</w:t>
      </w:r>
      <w:r>
        <w:rPr>
          <w:rFonts w:ascii="Arial" w:hAnsi="Arial" w:cs="Arial"/>
          <w:sz w:val="22"/>
          <w:szCs w:val="22"/>
        </w:rPr>
        <w:t xml:space="preserve"> behöver, samt den konfiguration slutkunden måste genomföra för att installationsservern ska komma online. </w:t>
      </w:r>
      <w:r>
        <w:rPr>
          <w:rFonts w:ascii="Arial" w:hAnsi="Arial" w:cs="Arial"/>
          <w:sz w:val="22"/>
          <w:szCs w:val="22"/>
          <w:b/>
          <w:bCs/>
        </w:rPr>
        <w:t>Kiona</w:t>
      </w:r>
      <w:r>
        <w:rPr>
          <w:rFonts w:ascii="Arial" w:hAnsi="Arial" w:cs="Arial"/>
          <w:sz w:val="22"/>
          <w:szCs w:val="22"/>
        </w:rPr>
        <w:t xml:space="preserve"> kan inte starta arbetet förrän formulären har returnerats och de beskrivna inställningarna har verifierats.</w:t>
      </w:r>
    </w:p>
    <w:p>
      <w:pPr>
        <w:spacing w:before="0" w:after="120"/>
      </w:pPr>
      <w:r>
        <w:rPr>
          <w:rFonts w:ascii="Arial" w:hAnsi="Arial" w:cs="Arial"/>
          <w:sz w:val="22"/>
          <w:szCs w:val="22"/>
        </w:rPr>
        <w:t xml:space="preserve">En installationsserver levereras med två nätverkskort. </w:t>
      </w:r>
      <w:r>
        <w:rPr>
          <w:rFonts w:ascii="Arial" w:hAnsi="Arial" w:cs="Arial"/>
          <w:sz w:val="22"/>
          <w:szCs w:val="22"/>
          <w:b/>
          <w:bCs/>
        </w:rPr>
        <w:t>Kiona</w:t>
      </w:r>
      <w:r>
        <w:rPr>
          <w:rFonts w:ascii="Arial" w:hAnsi="Arial" w:cs="Arial"/>
          <w:sz w:val="22"/>
          <w:szCs w:val="22"/>
        </w:rPr>
        <w:t xml:space="preserve"> måste tilldelas två nätverksanslutningar – detta är viktig information som kunden måste ta reda på. Det rekommenderas att ett gränssnitt reserveras för internetanslutning och hålls separerat från det tekniska nätverket. Det andra gränssnittet ansluts till det tekniska nätverket.</w:t>
      </w:r>
    </w:p>
    <w:p>
      <w:pPr>
        <w:spacing w:before="0" w:after="120"/>
      </w:pPr>
      <w:r>
        <w:rPr>
          <w:rFonts w:ascii="Arial" w:hAnsi="Arial" w:cs="Arial"/>
          <w:sz w:val="22"/>
          <w:szCs w:val="22"/>
        </w:rPr>
        <w:t xml:space="preserve">Konvertrar som tillhandahålls av </w:t>
      </w:r>
      <w:r>
        <w:rPr>
          <w:rFonts w:ascii="Arial" w:hAnsi="Arial" w:cs="Arial"/>
          <w:sz w:val="22"/>
          <w:szCs w:val="22"/>
          <w:b/>
          <w:bCs/>
        </w:rPr>
        <w:t>Kiona</w:t>
      </w:r>
      <w:r>
        <w:rPr>
          <w:rFonts w:ascii="Arial" w:hAnsi="Arial" w:cs="Arial"/>
          <w:sz w:val="22"/>
          <w:szCs w:val="22"/>
        </w:rPr>
        <w:t xml:space="preserve"> konfigureras som en del av leveransen när nödvändig information har lämnats över. För konvertrar som inte tillhandahålls av </w:t>
      </w:r>
      <w:r>
        <w:rPr>
          <w:rFonts w:ascii="Arial" w:hAnsi="Arial" w:cs="Arial"/>
          <w:sz w:val="22"/>
          <w:szCs w:val="22"/>
          <w:b/>
          <w:bCs/>
        </w:rPr>
        <w:t>Kiona</w:t>
      </w:r>
      <w:r>
        <w:rPr>
          <w:rFonts w:ascii="Arial" w:hAnsi="Arial" w:cs="Arial"/>
          <w:sz w:val="22"/>
          <w:szCs w:val="22"/>
        </w:rPr>
        <w:t xml:space="preserve"> kan </w:t>
      </w:r>
      <w:r>
        <w:rPr>
          <w:rFonts w:ascii="Arial" w:hAnsi="Arial" w:cs="Arial"/>
          <w:sz w:val="22"/>
          <w:szCs w:val="22"/>
          <w:b/>
          <w:bCs/>
        </w:rPr>
        <w:t>Kiona</w:t>
      </w:r>
      <w:r>
        <w:rPr>
          <w:rFonts w:ascii="Arial" w:hAnsi="Arial" w:cs="Arial"/>
          <w:sz w:val="22"/>
          <w:szCs w:val="22"/>
        </w:rPr>
        <w:t xml:space="preserve"> assistera med konfiguration och installation på installations-PC:n. Denna tjänst ingår dock inte i leveransen och hanteras som ett tilläggsalternativ.</w:t>
      </w:r>
    </w:p>
    <w:p>
      <w:pPr>
        <w:spacing w:after="0"/>
      </w:pPr>
    </w:p>
    <w:p>
      <w:pPr>
        <w:pStyle w:val="Rubrik2"/>
        <w:spacing w:before="200" w:after="100"/>
      </w:pPr>
      <w:r>
        <w:rPr>
          <w:rFonts w:ascii="Arial" w:hAnsi="Arial" w:cs="Arial"/>
          <w:sz w:val="26"/>
          <w:szCs w:val="26"/>
          <w:b/>
          <w:bCs/>
        </w:rPr>
        <w:t>1.3 – Topologi</w:t>
      </w:r>
    </w:p>
    <w:p>
      <w:pPr>
        <w:spacing w:before="0" w:after="120"/>
      </w:pPr>
      <w:r>
        <w:rPr>
          <w:rFonts w:ascii="Arial" w:hAnsi="Arial" w:cs="Arial"/>
          <w:sz w:val="22"/>
          <w:szCs w:val="22"/>
        </w:rPr>
        <w:t xml:space="preserve">För att kunna etablera kommunikationsanslutning med alla automationsenheter behöver </w:t>
      </w:r>
      <w:r>
        <w:rPr>
          <w:rFonts w:ascii="Arial" w:hAnsi="Arial" w:cs="Arial"/>
          <w:sz w:val="22"/>
          <w:szCs w:val="22"/>
          <w:b/>
          <w:bCs/>
        </w:rPr>
        <w:t>Kiona</w:t>
      </w:r>
      <w:r>
        <w:rPr>
          <w:rFonts w:ascii="Arial" w:hAnsi="Arial" w:cs="Arial"/>
          <w:sz w:val="22"/>
          <w:szCs w:val="22"/>
        </w:rPr>
        <w:t xml:space="preserve"> en komplett topologi som listar all nödvändig nätverksinformation. </w:t>
      </w:r>
      <w:r>
        <w:rPr>
          <w:rFonts w:ascii="Arial" w:hAnsi="Arial" w:cs="Arial"/>
          <w:sz w:val="22"/>
          <w:szCs w:val="22"/>
          <w:b/>
          <w:bCs/>
        </w:rPr>
        <w:t>Kiona</w:t>
      </w:r>
      <w:r>
        <w:rPr>
          <w:rFonts w:ascii="Arial" w:hAnsi="Arial" w:cs="Arial"/>
          <w:sz w:val="22"/>
          <w:szCs w:val="22"/>
        </w:rPr>
        <w:t xml:space="preserve"> är beroende av att få all information om seriell-till-nätverks-konvertrar, med tillhörande översikt över vilka automationsenheter som är anslutna till de olika portarna.</w:t>
      </w:r>
    </w:p>
    <w:p>
      <w:pPr>
        <w:spacing w:before="0" w:after="120"/>
      </w:pPr>
      <w:r>
        <w:rPr>
          <w:rFonts w:ascii="Arial" w:hAnsi="Arial" w:cs="Arial"/>
          <w:sz w:val="22"/>
          <w:szCs w:val="22"/>
        </w:rPr>
        <w:t>Se följande exempel:</w:t>
      </w:r>
    </w:p>
    <w:p>
      <w:pPr>
        <w:pStyle w:val="Liststycke"/>
        <w:numPr>
          <w:ilvl w:val="0"/>
          <w:numId w:val="1"/>
        </w:numPr>
        <w:spacing w:after="80"/>
      </w:pPr>
      <w:r>
        <w:rPr>
          <w:rFonts w:ascii="Arial" w:hAnsi="Arial" w:cs="Arial"/>
          <w:sz w:val="22"/>
          <w:szCs w:val="22"/>
        </w:rPr>
        <w:t>Grafik: topologi i PNG-format, framtagen i Gliffy eller liknande programvara</w:t>
      </w:r>
    </w:p>
    <w:p>
      <w:pPr>
        <w:pStyle w:val="Liststycke"/>
        <w:numPr>
          <w:ilvl w:val="0"/>
          <w:numId w:val="1"/>
        </w:numPr>
        <w:spacing w:after="80"/>
      </w:pPr>
      <w:r>
        <w:rPr>
          <w:rFonts w:ascii="Arial" w:hAnsi="Arial" w:cs="Arial"/>
          <w:sz w:val="22"/>
          <w:szCs w:val="22"/>
          <w:i/>
        </w:rPr>
        <w:t>IWMAC MALL 12 – Topologi.png</w:t>
      </w:r>
    </w:p>
    <w:p>
      <w:pPr>
        <w:pStyle w:val="Liststycke"/>
        <w:numPr>
          <w:ilvl w:val="0"/>
          <w:numId w:val="1"/>
        </w:numPr>
        <w:spacing w:after="80"/>
      </w:pPr>
      <w:r>
        <w:rPr>
          <w:rFonts w:ascii="Arial" w:hAnsi="Arial" w:cs="Arial"/>
          <w:sz w:val="22"/>
          <w:szCs w:val="22"/>
          <w:i/>
        </w:rPr>
        <w:t>IWMAC MALL 13 – Topologi.gliffy</w:t>
      </w:r>
    </w:p>
    <w:p>
      <w:pPr>
        <w:pStyle w:val="Liststycke"/>
        <w:numPr>
          <w:ilvl w:val="0"/>
          <w:numId w:val="1"/>
        </w:numPr>
        <w:spacing w:after="80"/>
      </w:pPr>
      <w:r>
        <w:rPr>
          <w:rFonts w:ascii="Arial" w:hAnsi="Arial" w:cs="Arial"/>
          <w:sz w:val="22"/>
          <w:szCs w:val="22"/>
        </w:rPr>
        <w:t>Excel: Enkel mall för enheter på IP, avancerad mall för enheter på IP och serieenheter via konvertrar</w:t>
      </w:r>
    </w:p>
    <w:p>
      <w:pPr>
        <w:pStyle w:val="Liststycke"/>
        <w:numPr>
          <w:ilvl w:val="0"/>
          <w:numId w:val="1"/>
        </w:numPr>
        <w:spacing w:after="80"/>
      </w:pPr>
      <w:r>
        <w:rPr>
          <w:rFonts w:ascii="Arial" w:hAnsi="Arial" w:cs="Arial"/>
          <w:sz w:val="22"/>
          <w:szCs w:val="22"/>
          <w:i/>
        </w:rPr>
        <w:t>IWMAC MALL 11 – Topologi IP och seriekonvertrar.xltx</w:t>
      </w:r>
    </w:p>
    <w:p>
      <w:pPr>
        <w:spacing w:after="0"/>
      </w:pPr>
    </w:p>
    <w:p>
      <w:pPr>
        <w:pStyle w:val="Rubrik2"/>
        <w:spacing w:before="200" w:after="100"/>
      </w:pPr>
      <w:r>
        <w:rPr>
          <w:rFonts w:ascii="Arial" w:hAnsi="Arial" w:cs="Arial"/>
          <w:sz w:val="26"/>
          <w:szCs w:val="26"/>
          <w:b/>
          <w:bCs/>
        </w:rPr>
        <w:t>1.4 – Parameterlistor, taggnamn och beskrivningar</w:t>
      </w:r>
    </w:p>
    <w:p>
      <w:pPr>
        <w:spacing w:before="0" w:after="120"/>
      </w:pPr>
      <w:r>
        <w:rPr>
          <w:rFonts w:ascii="Arial" w:hAnsi="Arial" w:cs="Arial"/>
          <w:sz w:val="22"/>
          <w:szCs w:val="22"/>
        </w:rPr>
        <w:t>IWMAC</w:t>
      </w:r>
      <w:r>
        <w:rPr>
          <w:rFonts w:ascii="Arial" w:hAnsi="Arial" w:cs="Arial"/>
          <w:sz w:val="22"/>
          <w:szCs w:val="22"/>
        </w:rPr>
        <w:t xml:space="preserve">:s system använder namn och beskrivningar som tas emot i underlaget/dokumentationen från kunden. I vissa fall kan detta läsas av skannrar direkt från utrustningen. För att </w:t>
      </w:r>
      <w:r>
        <w:rPr>
          <w:rFonts w:ascii="Arial" w:hAnsi="Arial" w:cs="Arial"/>
          <w:sz w:val="22"/>
          <w:szCs w:val="22"/>
          <w:b/>
          <w:bCs/>
        </w:rPr>
        <w:t>Kiona</w:t>
      </w:r>
      <w:r>
        <w:rPr>
          <w:rFonts w:ascii="Arial" w:hAnsi="Arial" w:cs="Arial"/>
          <w:sz w:val="22"/>
          <w:szCs w:val="22"/>
        </w:rPr>
        <w:t xml:space="preserve"> ska kunna ge slutanvändare läsbara och lokaliseringsbara taggnamn måste datalistorna innehålla nödvändig information samt en struktur som gör att </w:t>
      </w:r>
      <w:r>
        <w:rPr>
          <w:rFonts w:ascii="Arial" w:hAnsi="Arial" w:cs="Arial"/>
          <w:sz w:val="22"/>
          <w:szCs w:val="22"/>
          <w:b/>
          <w:bCs/>
        </w:rPr>
        <w:t>Kiona</w:t>
      </w:r>
      <w:r>
        <w:rPr>
          <w:rFonts w:ascii="Arial" w:hAnsi="Arial" w:cs="Arial"/>
          <w:sz w:val="22"/>
          <w:szCs w:val="22"/>
        </w:rPr>
        <w:t xml:space="preserve"> kan bygga upp taggdatabaserna korrekt.</w:t>
      </w:r>
    </w:p>
    <w:p>
      <w:pPr>
        <w:spacing w:before="0" w:after="120"/>
      </w:pPr>
      <w:r>
        <w:rPr>
          <w:rFonts w:ascii="Arial" w:hAnsi="Arial" w:cs="Arial"/>
          <w:sz w:val="22"/>
          <w:szCs w:val="22"/>
        </w:rPr>
        <w:t>Här är några allmänna riktlinjer:</w:t>
      </w:r>
    </w:p>
    <w:p>
      <w:pPr>
        <w:pStyle w:val="Liststycke"/>
        <w:numPr>
          <w:ilvl w:val="0"/>
          <w:numId w:val="1"/>
        </w:numPr>
        <w:spacing w:after="80"/>
      </w:pPr>
      <w:r>
        <w:rPr>
          <w:rFonts w:ascii="Arial" w:hAnsi="Arial" w:cs="Arial"/>
          <w:sz w:val="22"/>
          <w:szCs w:val="22"/>
        </w:rPr>
        <w:t>Kiona förutsätter att ett systemnummer och tvärdisciplinärt märkningssystem (TFM) komponentkod anges för varje parameter/tagg-rad, samt en enkel parameterbeskrivning, antingen per fysisk komponent eller per funktion.</w:t>
      </w:r>
    </w:p>
    <w:p>
      <w:pPr>
        <w:pStyle w:val="Liststycke"/>
        <w:numPr>
          <w:ilvl w:val="0"/>
          <w:numId w:val="1"/>
        </w:numPr>
        <w:spacing w:after="80"/>
      </w:pPr>
      <w:r>
        <w:rPr>
          <w:rFonts w:ascii="Arial" w:hAnsi="Arial" w:cs="Arial"/>
          <w:sz w:val="22"/>
          <w:szCs w:val="22"/>
        </w:rPr>
        <w:t>För rumsstyrning måste det gå att separera varje rum, våning och vid behov byggnad eller flygel.</w:t>
      </w:r>
    </w:p>
    <w:p>
      <w:pPr>
        <w:pStyle w:val="Liststycke"/>
        <w:numPr>
          <w:ilvl w:val="0"/>
          <w:numId w:val="1"/>
        </w:numPr>
        <w:spacing w:after="80"/>
      </w:pPr>
      <w:r>
        <w:rPr>
          <w:rFonts w:ascii="Arial" w:hAnsi="Arial" w:cs="Arial"/>
          <w:sz w:val="22"/>
          <w:szCs w:val="22"/>
        </w:rPr>
        <w:t>Alla liknande funktioner inom varje rum måste ges samma funktionskod.</w:t>
      </w:r>
    </w:p>
    <w:p>
      <w:pPr>
        <w:pStyle w:val="Liststycke"/>
        <w:numPr>
          <w:ilvl w:val="0"/>
          <w:numId w:val="1"/>
        </w:numPr>
        <w:spacing w:after="80"/>
      </w:pPr>
      <w:r>
        <w:rPr>
          <w:rFonts w:ascii="Arial" w:hAnsi="Arial" w:cs="Arial"/>
          <w:sz w:val="22"/>
          <w:szCs w:val="22"/>
        </w:rPr>
        <w:t>För överordnade centrala komponenter och zonbegränsade funktioner måste zon/grupptilldelning anges för varje parameterrad.</w:t>
      </w:r>
    </w:p>
    <w:p>
      <w:pPr>
        <w:pStyle w:val="Liststycke"/>
        <w:numPr>
          <w:ilvl w:val="0"/>
          <w:numId w:val="1"/>
        </w:numPr>
        <w:spacing w:after="80"/>
      </w:pPr>
      <w:r>
        <w:rPr>
          <w:rFonts w:ascii="Arial" w:hAnsi="Arial" w:cs="Arial"/>
          <w:sz w:val="22"/>
          <w:szCs w:val="22"/>
        </w:rPr>
        <w:t>För listor som hanterar en enhet som endast betjänar ett systemnummer kan systemnumret utelämnas.</w:t>
      </w:r>
    </w:p>
    <w:p>
      <w:pPr>
        <w:spacing w:before="0" w:after="120"/>
      </w:pPr>
      <w:r>
        <w:rPr>
          <w:rFonts w:ascii="Arial" w:hAnsi="Arial" w:cs="Arial"/>
          <w:sz w:val="22"/>
          <w:szCs w:val="22"/>
        </w:rPr>
        <w:t>IWMAC</w:t>
      </w:r>
      <w:r>
        <w:rPr>
          <w:rFonts w:ascii="Arial" w:hAnsi="Arial" w:cs="Arial"/>
          <w:sz w:val="22"/>
          <w:szCs w:val="22"/>
        </w:rPr>
        <w:t xml:space="preserve">:s komponentkodstandard används i bilder om inte annat har avtalats, eller om komponentkoder saknas i tagglistan eller tillhörande systemschema. Allt underlag måste vara konsekvent i teckenkodning för att </w:t>
      </w:r>
      <w:r>
        <w:rPr>
          <w:rFonts w:ascii="Arial" w:hAnsi="Arial" w:cs="Arial"/>
          <w:sz w:val="22"/>
          <w:szCs w:val="22"/>
          <w:b/>
          <w:bCs/>
        </w:rPr>
        <w:t>Kiona</w:t>
      </w:r>
      <w:r>
        <w:rPr>
          <w:rFonts w:ascii="Arial" w:hAnsi="Arial" w:cs="Arial"/>
          <w:sz w:val="22"/>
          <w:szCs w:val="22"/>
        </w:rPr>
        <w:t xml:space="preserve"> ska kunna identifiera komponenternas tillhörighet.</w:t>
      </w:r>
    </w:p>
    <w:p>
      <w:pPr>
        <w:spacing w:after="0"/>
      </w:pPr>
    </w:p>
    <w:p>
      <w:pPr>
        <w:pStyle w:val="Normal"/>
      </w:pPr>
      <w:r>
        <w:t xml:space="preserve">För BACnet-objekt kan TFM-kodningen ofta ingå i själva objektnamnet, medan beskrivningen läggs i “description”-attributet. Annan strukturering är också möjlig så länge taggen innehåller all nödvändig information och struktur, som tidigare beskrivits.</w:t>
      </w:r>
    </w:p>
    <w:p>
      <w:pPr>
        <w:pStyle w:val="Normal"/>
      </w:pPr>
      <w:r>
        <w:t xml:space="preserve">I Modbus-, KNX-, OPC-, N2- och motsvarande taglistor kan typiskt sett både TFM-kodning och beskrivning ingå i en och samma text. Det är då viktigt att strukturen är densamma för alla rader, med systemkomponentfunktionskoden i fast ordning – med fasta avgränsare först och beskrivning sist.</w:t>
      </w:r>
    </w:p>
    <w:p>
      <w:pPr>
        <w:pStyle w:val="ListParagraph"/>
      </w:pPr>
      <w:r>
        <w:t xml:space="preserve">R201_SQ501_spjv – Frånluft VAV1 spjällvinkel</w:t>
      </w:r>
    </w:p>
    <w:p>
      <w:pPr>
        <w:pStyle w:val="ListParagraph"/>
      </w:pPr>
      <w:r>
        <w:t xml:space="preserve">R201_SQ402_lm – Tilluft VAV2 luftflöde</w:t>
      </w:r>
    </w:p>
    <w:p>
      <w:pPr>
        <w:pStyle w:val="ListParagraph"/>
      </w:pPr>
      <w:r>
        <w:t xml:space="preserve">R201_SQ401_lm – Tilluft VAV1 luftflöde</w:t>
      </w:r>
    </w:p>
    <w:p>
      <w:pPr>
        <w:pStyle w:val="ListParagraph"/>
      </w:pPr>
      <w:r>
        <w:t xml:space="preserve">R201_HVlv – Värmepådrag</w:t>
      </w:r>
    </w:p>
    <w:p>
      <w:pPr>
        <w:pStyle w:val="ListParagraph"/>
      </w:pPr>
      <w:r>
        <w:t xml:space="preserve">R201_BasSetp – Grundbörvärde</w:t>
      </w:r>
    </w:p>
    <w:p>
      <w:pPr>
        <w:pStyle w:val="ListParagraph"/>
      </w:pPr>
      <w:r>
        <w:t xml:space="preserve">R201_Erverdi – Rumstemperatur</w:t>
      </w:r>
    </w:p>
    <w:p>
      <w:pPr>
        <w:pStyle w:val="Heading3"/>
      </w:pPr>
      <w:r>
        <w:t xml:space="preserve">Exempel för rum:</w:t>
      </w:r>
    </w:p>
    <w:p>
      <w:pPr>
        <w:pStyle w:val="ListParagraph"/>
      </w:pPr>
      <w:r>
        <w:t xml:space="preserve">360.001 RT401 Beräknat börvärde  eller  byggnr_360001_RT401_ASP arb. börvärde</w:t>
      </w:r>
    </w:p>
    <w:p>
      <w:pPr>
        <w:pStyle w:val="ListParagraph"/>
      </w:pPr>
      <w:r>
        <w:t xml:space="preserve">360.001 RT401 Tilluftstemperatur  eller  byggnr_360001_RT401_PV Tilluftstemperatur</w:t>
      </w:r>
    </w:p>
    <w:p>
      <w:pPr>
        <w:pStyle w:val="Heading3"/>
      </w:pPr>
      <w:r>
        <w:t xml:space="preserve">Exempel för temperaturgivare (processvärde) och parameter för beräknat börvärde:</w:t>
      </w:r>
    </w:p>
    <w:p>
      <w:pPr>
        <w:pStyle w:val="Normal"/>
      </w:pPr>
      <w:r>
        <w:t xml:space="preserve">Kionas komponentkodstandard används i bilder om inte annat har avtalats, eller om komponentkoder inte finns i tag-listan eller tillhörande systemskiss. Allt underlag måste vara konsekvent i teckenkodning för att Kiona ska kunna identifiera komponenternas tillhörighet.</w:t>
      </w:r>
    </w:p>
    <w:p>
      <w:pPr>
        <w:pStyle w:val="Rubrik2"/>
        <w:spacing w:before="200" w:after="100"/>
      </w:pPr>
      <w:r>
        <w:rPr>
          <w:rFonts w:ascii="Arial" w:hAnsi="Arial" w:cs="Arial"/>
          <w:sz w:val="26"/>
          <w:szCs w:val="26"/>
          <w:b/>
          <w:bCs/>
        </w:rPr>
        <w:t>1.5 – Parameterlistor, alarmfunktionalitet och skrivbehörighet</w:t>
      </w:r>
    </w:p>
    <w:p>
      <w:pPr>
        <w:spacing w:before="0" w:after="120"/>
      </w:pPr>
      <w:r>
        <w:rPr>
          <w:rFonts w:ascii="Arial" w:hAnsi="Arial" w:cs="Arial"/>
          <w:sz w:val="22"/>
          <w:szCs w:val="22"/>
          <w:b/>
          <w:bCs/>
        </w:rPr>
        <w:t>Kiona</w:t>
      </w:r>
      <w:r>
        <w:rPr>
          <w:rFonts w:ascii="Arial" w:hAnsi="Arial" w:cs="Arial"/>
          <w:sz w:val="22"/>
          <w:szCs w:val="22"/>
        </w:rPr>
        <w:t xml:space="preserve"> måste direkt i taggdatabasen specificera vilka punkter som är läsbara och/eller skrivbara. Detsamma gäller för alarmnivåindikation för punkter som är avsedda att generera alarm.</w:t>
      </w:r>
    </w:p>
    <w:p>
      <w:pPr>
        <w:spacing w:before="0" w:after="120"/>
      </w:pPr>
      <w:r>
        <w:rPr>
          <w:rFonts w:ascii="Arial" w:hAnsi="Arial" w:cs="Arial"/>
          <w:sz w:val="22"/>
          <w:szCs w:val="22"/>
        </w:rPr>
        <w:t>IWMAC</w:t>
      </w:r>
      <w:r>
        <w:rPr>
          <w:rFonts w:ascii="Arial" w:hAnsi="Arial" w:cs="Arial"/>
          <w:sz w:val="22"/>
          <w:szCs w:val="22"/>
        </w:rPr>
        <w:t xml:space="preserve"> kräver normalt sett bara digitala alarm i databasen. Om kunden vill generera alarm på multistate (heltal) eller flyttalsvärden krävs klargörande med </w:t>
      </w:r>
      <w:r>
        <w:rPr>
          <w:rFonts w:ascii="Arial" w:hAnsi="Arial" w:cs="Arial"/>
          <w:sz w:val="22"/>
          <w:szCs w:val="22"/>
          <w:b/>
          <w:bCs/>
        </w:rPr>
        <w:t>Kiona</w:t>
      </w:r>
      <w:r>
        <w:rPr>
          <w:rFonts w:ascii="Arial" w:hAnsi="Arial" w:cs="Arial"/>
          <w:sz w:val="22"/>
          <w:szCs w:val="22"/>
        </w:rPr>
        <w:t>:s leveransansvarig om detta är möjligt i varje enskilt fall och vilka konsekvenser det kan ha avseende extra tid, behov av smarta funktioner m.m.</w:t>
      </w:r>
    </w:p>
    <w:p>
      <w:pPr>
        <w:spacing w:before="0" w:after="120"/>
      </w:pPr>
      <w:r>
        <w:rPr>
          <w:rFonts w:ascii="Arial" w:hAnsi="Arial" w:cs="Arial"/>
          <w:sz w:val="22"/>
          <w:szCs w:val="22"/>
        </w:rPr>
        <w:t xml:space="preserve">Se det specifika protokollbilagan för en beskrivning av den information </w:t>
      </w:r>
      <w:r>
        <w:rPr>
          <w:rFonts w:ascii="Arial" w:hAnsi="Arial" w:cs="Arial"/>
          <w:sz w:val="22"/>
          <w:szCs w:val="22"/>
          <w:b/>
          <w:bCs/>
        </w:rPr>
        <w:t>Kiona</w:t>
      </w:r>
      <w:r>
        <w:rPr>
          <w:rFonts w:ascii="Arial" w:hAnsi="Arial" w:cs="Arial"/>
          <w:sz w:val="22"/>
          <w:szCs w:val="22"/>
        </w:rPr>
        <w:t xml:space="preserve"> behöver avseende om punkter ska vara skrivbara eller definiera alarmpunkter, samt tillhörande alarmnivå.</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IWMAC-checklistor</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2.1 – IWMAC Checklista – BACnet.docx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2.2 – IWMAC Checklista – Modbus.docx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2.3 – IWMAC Checklista – N2-Open.docx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2.4 – IWMAC Checklista – KNX.docx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2.5 – IWMAC Checklista – OPC.docx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3.1 – IWMAC Checklista – Ventilation.docx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3.2 – IWMAC Checklista – Värme- och kylsystem.docx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3.3 – IWMAC Checklista – Rumsstyrning.docx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3.4 – IWMAC Checklista – Teknisk och elektrisk.docx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3.5 – IWMAC Checklista – Energirapport.docx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3.6 – IWMAC Checklista – EOS.docx</w:t>
            </w:r>
          </w:p>
        </w:tc>
      </w:tr>
    </w:tbl>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IWMAC-mallar</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01 – Energirapport.xltx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02 – Tekniska signaler.xltx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03 – BACnet EDE.csv</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04 – BACnet StateTexts.csv</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05 – DX9100.xltx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06 – EOS.xltx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07 – FX15.xltx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08 – Modbus.xltx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09 – Rumlista.xltx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10 – Enkel topologi, endast IP.xltx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11 – Topologi IP och seriekonvertrar.xltx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rPr>
              <w:t>IWMAC MALL 12 – Topologi.png</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rPr>
              <w:t>IWMAC MALL 13 – Topologi (gliffy)</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