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2.5 IWMAC Checkliste – OPC DA</w:t>
      </w:r>
    </w:p>
    <w:p>
      <w:pPr>
        <w:spacing w:before="0" w:after="120"/>
      </w:pPr>
      <w:r>
        <w:rPr>
          <w:rFonts w:ascii="Arial" w:hAnsi="Arial" w:cs="Arial"/>
          <w:sz w:val="22"/>
          <w:szCs w:val="22"/>
        </w:rPr>
        <w:t xml:space="preserve">Damit </w:t>
      </w:r>
      <w:r>
        <w:rPr>
          <w:rFonts w:ascii="Arial" w:hAnsi="Arial" w:cs="Arial"/>
          <w:sz w:val="22"/>
          <w:szCs w:val="22"/>
          <w:b/>
          <w:bCs/>
        </w:rPr>
        <w:t>Kiona</w:t>
      </w:r>
      <w:r>
        <w:rPr>
          <w:rFonts w:ascii="Arial" w:hAnsi="Arial" w:cs="Arial"/>
          <w:sz w:val="22"/>
          <w:szCs w:val="22"/>
        </w:rPr>
        <w:t xml:space="preserve"> ein Gerät in </w:t>
      </w:r>
      <w:r>
        <w:rPr>
          <w:rFonts w:ascii="Arial" w:hAnsi="Arial" w:cs="Arial"/>
          <w:sz w:val="22"/>
          <w:szCs w:val="22"/>
          <w:b/>
          <w:bCs/>
        </w:rPr>
        <w:t>IWMAC</w:t>
      </w:r>
      <w:r>
        <w:rPr>
          <w:rFonts w:ascii="Arial" w:hAnsi="Arial" w:cs="Arial"/>
          <w:sz w:val="22"/>
          <w:szCs w:val="22"/>
        </w:rPr>
        <w:t xml:space="preserve"> über OPC integrieren kann, werden bestimmte Informationen benötigt.</w:t>
      </w:r>
    </w:p>
    <w:p>
      <w:pPr>
        <w:spacing w:before="0" w:after="120"/>
      </w:pPr>
      <w:r>
        <w:rPr>
          <w:rFonts w:ascii="Arial" w:hAnsi="Arial" w:cs="Arial"/>
          <w:sz w:val="22"/>
          <w:szCs w:val="22"/>
        </w:rPr>
        <w:t xml:space="preserve">Es ist oft schwierig, eine Kommunikation herzustellen, wenn ein OPC-Server auf einem anderen PC im Netzwerk platziert ist. </w:t>
      </w:r>
      <w:r>
        <w:rPr>
          <w:rFonts w:ascii="Arial" w:hAnsi="Arial" w:cs="Arial"/>
          <w:sz w:val="22"/>
          <w:szCs w:val="22"/>
          <w:b/>
          <w:bCs/>
        </w:rPr>
        <w:t>Kiona</w:t>
      </w:r>
      <w:r>
        <w:rPr>
          <w:rFonts w:ascii="Arial" w:hAnsi="Arial" w:cs="Arial"/>
          <w:sz w:val="22"/>
          <w:szCs w:val="22"/>
        </w:rPr>
        <w:t xml:space="preserve"> muss daher in der Regel wissen, ob der OPC-Server auf einem IWMAC-PC installiert werden kann.</w:t>
      </w:r>
    </w:p>
    <w:p>
      <w:pPr>
        <w:spacing w:after="0"/>
      </w:pPr>
    </w:p>
    <w:p>
      <w:pPr>
        <w:pStyle w:val="Rubrik3"/>
        <w:spacing w:before="200" w:after="100"/>
      </w:pPr>
      <w:r>
        <w:rPr>
          <w:rFonts w:ascii="Arial" w:hAnsi="Arial" w:cs="Arial"/>
          <w:sz w:val="24"/>
          <w:szCs w:val="24"/>
          <w:b/>
          <w:bCs/>
        </w:rPr>
        <w:t>OPC-Verbindungsinformationen</w:t>
      </w:r>
    </w:p>
    <w:p>
      <w:pPr>
        <w:pStyle w:val="Liststycke"/>
        <w:numPr>
          <w:ilvl w:val="0"/>
          <w:numId w:val="1"/>
        </w:numPr>
        <w:spacing w:after="80"/>
      </w:pPr>
      <w:r>
        <w:rPr>
          <w:rFonts w:ascii="Arial" w:hAnsi="Arial" w:cs="Arial"/>
          <w:sz w:val="22"/>
          <w:szCs w:val="22"/>
        </w:rPr>
        <w:t>Der Verbindungsstring für den OPC-Server (der OPC-Servername, der für unseren OPC-Client verwendet werden soll).</w:t>
      </w:r>
    </w:p>
    <w:p>
      <w:pPr>
        <w:pStyle w:val="Liststycke"/>
        <w:numPr>
          <w:ilvl w:val="0"/>
          <w:numId w:val="1"/>
        </w:numPr>
        <w:spacing w:after="80"/>
      </w:pPr>
      <w:r>
        <w:rPr>
          <w:rFonts w:ascii="Arial" w:hAnsi="Arial" w:cs="Arial"/>
          <w:sz w:val="22"/>
          <w:szCs w:val="22"/>
        </w:rPr>
        <w:t>Etwaiger Benutzername und Passwort, die der Client zur Verbindung mit dem OPC-Server verwenden muss.</w:t>
      </w:r>
    </w:p>
    <w:p>
      <w:pPr>
        <w:pStyle w:val="Liststycke"/>
        <w:numPr>
          <w:ilvl w:val="0"/>
          <w:numId w:val="1"/>
        </w:numPr>
        <w:spacing w:after="80"/>
      </w:pPr>
      <w:r>
        <w:rPr>
          <w:rFonts w:ascii="Arial" w:hAnsi="Arial" w:cs="Arial"/>
          <w:sz w:val="22"/>
          <w:szCs w:val="22"/>
        </w:rPr>
        <w:t>Gruppenadressname und Zugriffspfad, wenn der OPC-Server dies erfordert.</w:t>
      </w:r>
    </w:p>
    <w:p>
      <w:pPr>
        <w:pStyle w:val="Liststycke"/>
        <w:numPr>
          <w:ilvl w:val="0"/>
          <w:numId w:val="1"/>
        </w:numPr>
        <w:spacing w:after="80"/>
      </w:pPr>
      <w:r>
        <w:rPr>
          <w:rFonts w:ascii="Arial" w:hAnsi="Arial" w:cs="Arial"/>
          <w:sz w:val="22"/>
          <w:szCs w:val="22"/>
        </w:rPr>
        <w:t>Wenn der Server auf einem anderen PC als einem IWMAC-PC installiert ist, muss der Kunde eine Übersicht über alle relevanten Parameter bereitstellen, die für die DCOM-Konfiguration festgelegt werden müssen, sowie den Maschinennamen, Netzwerkparameter wie IP-Adresse, Benutzername und Passwort für das Konto, das den OPC-Server betreibt und verwaltet.</w:t>
      </w:r>
    </w:p>
    <w:p>
      <w:pPr>
        <w:pStyle w:val="Liststycke"/>
        <w:numPr>
          <w:ilvl w:val="0"/>
          <w:numId w:val="1"/>
        </w:numPr>
        <w:spacing w:after="80"/>
      </w:pPr>
      <w:r>
        <w:rPr>
          <w:rFonts w:ascii="Arial" w:hAnsi="Arial" w:cs="Arial"/>
          <w:sz w:val="22"/>
          <w:szCs w:val="22"/>
        </w:rPr>
        <w:t>Die Anzahl der Kommunikations-Threads, die der OPC-Server und jedes Gerät dahinter parallel unterstützen, muss angegeben werden.</w:t>
      </w:r>
    </w:p>
    <w:p>
      <w:pPr>
        <w:spacing w:after="0"/>
      </w:pPr>
    </w:p>
    <w:p>
      <w:pPr>
        <w:pStyle w:val="Rubrik3"/>
        <w:spacing w:before="200" w:after="100"/>
      </w:pPr>
      <w:r>
        <w:rPr>
          <w:rFonts w:ascii="Arial" w:hAnsi="Arial" w:cs="Arial"/>
          <w:sz w:val="24"/>
          <w:szCs w:val="24"/>
          <w:b/>
          <w:bCs/>
        </w:rPr>
        <w:t>Parameterliste</w:t>
      </w:r>
    </w:p>
    <w:p>
      <w:pPr>
        <w:pStyle w:val="Liststycke"/>
        <w:numPr>
          <w:ilvl w:val="0"/>
          <w:numId w:val="1"/>
        </w:numPr>
        <w:spacing w:after="80"/>
      </w:pPr>
      <w:r>
        <w:rPr>
          <w:rFonts w:ascii="Arial" w:hAnsi="Arial" w:cs="Arial"/>
          <w:sz w:val="22"/>
          <w:szCs w:val="22"/>
        </w:rPr>
        <w:t>Eindeutiger Name und Beschreibung des Punktes. Dieser Text muss einen Punkt eindeutig im Verhältnis zu anderen entsprechenden Punkten auf entsprechenden und anderen Systemen identifizieren, z. B. gewerkübergreifendes Kennzeichnungssystem (TFM) und Komponentencode.</w:t>
      </w:r>
    </w:p>
    <w:p>
      <w:pPr>
        <w:pStyle w:val="Liststycke"/>
        <w:numPr>
          <w:ilvl w:val="0"/>
          <w:numId w:val="1"/>
        </w:numPr>
        <w:spacing w:after="80"/>
      </w:pPr>
      <w:r>
        <w:rPr>
          <w:rFonts w:ascii="Arial" w:hAnsi="Arial" w:cs="Arial"/>
          <w:sz w:val="22"/>
          <w:szCs w:val="22"/>
        </w:rPr>
        <w:t>OPC-Registeradresse sowie Datentyp und Datenlänge; siehe Tabelle.</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1400"/>
        <w:gridCol w:w="2000"/>
        <w:gridCol w:w="5960"/>
      </w:tblGrid>
      <w:tr>
        <w:tc>
          <w:tcPr>
            <w:tcW w:w="1400" w:type="dxa"/>
            <w:shd w:val="clear" w:fill="5A2490"/>
            <w:tcMar>
              <w:top w:w="80" w:type="dxa"/>
              <w:left w:w="120" w:type="dxa"/>
              <w:bottom w:w="80" w:type="dxa"/>
              <w:right w:w="120" w:type="dxa"/>
            </w:tcMar>
          </w:tcPr>
          <w:p>
            <w:pPr>
              <w:spacing w:after="0"/>
            </w:pPr>
            <w:r>
              <w:rPr>
                <w:rFonts w:ascii="Arial" w:hAnsi="Arial" w:cs="Arial"/>
                <w:sz w:val="18"/>
                <w:szCs w:val="18"/>
                <w:b/>
                <w:bCs/>
                <w:color w:val="FFFFFF"/>
              </w:rPr>
              <w:t>Wert (Dezimal)</w:t>
            </w:r>
          </w:p>
        </w:tc>
        <w:tc>
          <w:tcPr>
            <w:tcW w:w="2000" w:type="dxa"/>
            <w:shd w:val="clear" w:fill="5A2490"/>
            <w:tcMar>
              <w:top w:w="80" w:type="dxa"/>
              <w:left w:w="120" w:type="dxa"/>
              <w:bottom w:w="80" w:type="dxa"/>
              <w:right w:w="120" w:type="dxa"/>
            </w:tcMar>
          </w:tcPr>
          <w:p>
            <w:pPr>
              <w:spacing w:after="0"/>
            </w:pPr>
            <w:r>
              <w:rPr>
                <w:rFonts w:ascii="Arial" w:hAnsi="Arial" w:cs="Arial"/>
                <w:sz w:val="18"/>
                <w:szCs w:val="18"/>
                <w:b/>
                <w:bCs/>
                <w:color w:val="FFFFFF"/>
              </w:rPr>
              <w:t>Datentyp</w:t>
            </w:r>
          </w:p>
        </w:tc>
        <w:tc>
          <w:tcPr>
            <w:tcW w:w="5960" w:type="dxa"/>
            <w:shd w:val="clear" w:fill="5A2490"/>
            <w:tcMar>
              <w:top w:w="80" w:type="dxa"/>
              <w:left w:w="120" w:type="dxa"/>
              <w:bottom w:w="80" w:type="dxa"/>
              <w:right w:w="120" w:type="dxa"/>
            </w:tcMar>
          </w:tcPr>
          <w:p>
            <w:pPr>
              <w:spacing w:after="0"/>
            </w:pPr>
            <w:r>
              <w:rPr>
                <w:rFonts w:ascii="Arial" w:hAnsi="Arial" w:cs="Arial"/>
                <w:sz w:val="18"/>
                <w:szCs w:val="18"/>
                <w:b/>
                <w:bCs/>
                <w:color w:val="FFFFFF"/>
              </w:rPr>
              <w:t>Beschreibung</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0</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VT_EMPTY</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Standard/Leer (nichts)</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2</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VT_I2</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2-Byte vorzeichenbehaftete Ganzzahl</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3</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VT_I4</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4-Byte vorzeichenbehaftete Ganzzahl</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4</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VT_R4</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4-Byte reelle Zahl</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5</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VT_R8</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8-Byte reelle Zahl</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6</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VT_CY</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Währung</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7</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VT_DATE</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Datum</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8</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VT_BSTR</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Text</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10</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VT_ERROR</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Fehlercode</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11</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VT_BOOL</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Boolesch (WAHR = -1, FALSCH = 0)</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17</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VT_I1</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1-Byte vorzeichenbehaftetes Zeichen</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18</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VT_UI1</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1-Byte vorzeichenloses Zeichen</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19</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VT_UI2</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2-Byte vorzeichenlose Ganzzahl</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20</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VT_UI4</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4-Byte vorzeichenlose Ganzzahl</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+8192</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VT_ARRAY</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Array von Werten (z. B. 8200 = Array von Textwerten)</w:t>
            </w:r>
          </w:p>
        </w:tc>
      </w:tr>
    </w:tbl>
    <w:p>
      <w:pPr>
        <w:spacing w:after="0"/>
      </w:pPr>
    </w:p>
    <w:p>
      <w:pPr>
        <w:pStyle w:val="Liststycke"/>
        <w:numPr>
          <w:ilvl w:val="0"/>
          <w:numId w:val="1"/>
        </w:numPr>
        <w:spacing w:after="80"/>
      </w:pPr>
      <w:r>
        <w:rPr>
          <w:rFonts w:ascii="Arial" w:hAnsi="Arial" w:cs="Arial"/>
          <w:sz w:val="22"/>
          <w:szCs w:val="22"/>
        </w:rPr>
        <w:t>Etwaige Bit-Spezifikation, wenn ein einzelnes Bit in einem Register als binärer Datenpunkt exportiert werden soll.</w:t>
      </w:r>
    </w:p>
    <w:p>
      <w:pPr>
        <w:pStyle w:val="Liststycke"/>
        <w:numPr>
          <w:ilvl w:val="0"/>
          <w:numId w:val="1"/>
        </w:numPr>
        <w:spacing w:after="80"/>
      </w:pPr>
      <w:r>
        <w:rPr>
          <w:rFonts w:ascii="Arial" w:hAnsi="Arial" w:cs="Arial"/>
          <w:sz w:val="22"/>
          <w:szCs w:val="22"/>
        </w:rPr>
        <w:t>"Engineering Unit" wie degC, bar, Pa, % und Äquivalente für analoge Werte.</w:t>
      </w:r>
    </w:p>
    <w:p>
      <w:pPr>
        <w:pStyle w:val="Liststycke"/>
        <w:numPr>
          <w:ilvl w:val="0"/>
          <w:numId w:val="1"/>
        </w:numPr>
        <w:spacing w:after="80"/>
      </w:pPr>
      <w:r>
        <w:rPr>
          <w:rFonts w:ascii="Arial" w:hAnsi="Arial" w:cs="Arial"/>
          <w:sz w:val="22"/>
          <w:szCs w:val="22"/>
        </w:rPr>
        <w:t>Skalierung muss angegeben werden, wenn relevant. Soll das Dezimalkomma bei einem Ganzzahlwert verschoben werden: x10, x0,1, x0,001 usw.?</w:t>
      </w:r>
    </w:p>
    <w:p>
      <w:pPr>
        <w:pStyle w:val="Liststycke"/>
        <w:numPr>
          <w:ilvl w:val="0"/>
          <w:numId w:val="1"/>
        </w:numPr>
        <w:spacing w:after="80"/>
      </w:pPr>
      <w:r>
        <w:rPr>
          <w:rFonts w:ascii="Arial" w:hAnsi="Arial" w:cs="Arial"/>
          <w:sz w:val="22"/>
          <w:szCs w:val="22"/>
        </w:rPr>
        <w:t>Alle durch Boolean- oder Ganzzahlwerte dargestellten Status, z. B. 0=Aus, 1=Ein.</w:t>
      </w:r>
    </w:p>
    <w:p>
      <w:pPr>
        <w:pStyle w:val="Liststycke"/>
        <w:numPr>
          <w:ilvl w:val="0"/>
          <w:numId w:val="1"/>
        </w:numPr>
        <w:spacing w:after="80"/>
      </w:pPr>
      <w:r>
        <w:rPr>
          <w:rFonts w:ascii="Arial" w:hAnsi="Arial" w:cs="Arial"/>
          <w:sz w:val="22"/>
          <w:szCs w:val="22"/>
        </w:rPr>
        <w:t>Klare Beschreibung, ob der Punkt lesbar oder schreibbar ist: r für lesbar, rw für auch schreibbar.</w:t>
      </w:r>
    </w:p>
    <w:p>
      <w:pPr>
        <w:pStyle w:val="Liststycke"/>
        <w:numPr>
          <w:ilvl w:val="0"/>
          <w:numId w:val="1"/>
        </w:numPr>
        <w:spacing w:after="80"/>
      </w:pPr>
      <w:r>
        <w:rPr>
          <w:rFonts w:ascii="Arial" w:hAnsi="Arial" w:cs="Arial"/>
          <w:sz w:val="22"/>
          <w:szCs w:val="22"/>
        </w:rPr>
        <w:t>Alarmniveauklassifizierung für digitale Alarme: A ist die höchste und wird als Alarmmeldung gesendet, B und C sind niedrigere Stufen.</w:t>
      </w:r>
    </w:p>
    <w:p>
      <w:pPr>
        <w:spacing w:after="0"/>
      </w:pPr>
    </w:p>
    <w:p>
      <w:pPr>
        <w:spacing w:before="0" w:after="120"/>
      </w:pPr>
      <w:r>
        <w:rPr>
          <w:rFonts w:ascii="Arial" w:hAnsi="Arial" w:cs="Arial"/>
          <w:sz w:val="22"/>
          <w:szCs w:val="22"/>
        </w:rPr>
        <w:t xml:space="preserve">Alle Einheiten hinter der OPC-Installation müssen vorab in Betrieb genommen und getestet worden sein, bevor </w:t>
      </w:r>
      <w:r>
        <w:rPr>
          <w:rFonts w:ascii="Arial" w:hAnsi="Arial" w:cs="Arial"/>
          <w:sz w:val="22"/>
          <w:szCs w:val="22"/>
          <w:b/>
          <w:bCs/>
        </w:rPr>
        <w:t>Kiona</w:t>
      </w:r>
      <w:r>
        <w:rPr>
          <w:rFonts w:ascii="Arial" w:hAnsi="Arial" w:cs="Arial"/>
          <w:sz w:val="22"/>
          <w:szCs w:val="22"/>
        </w:rPr>
        <w:t xml:space="preserve"> die Parameterliste importieren kann.</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Checkliste – OPC-DA</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Gerät:____________________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Prüfpunkt</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Erläuterung</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Erledigt (Ja/Nein)</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Alle Parameter wurden gemäß "1 – Design- und Integrationsleitfaden" benannt oder alternativ mit Kiona besprochen und genehmigt.</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Alle Buskomponenten wurden vollständig in Betrieb genommen und funktionsgetestet.</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Der Kunde hat den Zugriff auf den OPC-Server mit einem auf einem IWMAC-PC installierten OPC-Client getestet.</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Bestätigung, dass die OPC-Verbindung funktioniert und die Kommunikation mit allen dahinter liegenden Geräten funktioniert.</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Verbindungsinformationen wurden an Kiona übermittelt.</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Die vollständige Tag-Liste wurde wie in diesem Leitfaden beschrieben erstellt und an Kiona übermittelt.</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Eine Übersicht der gewünschten IWMAC Leitsystem-Kalender und welche Datenpunkte diese beschreiben sollen, wurde an Kiona übermittelt.</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Betriebszeiten müssen bekannt sein, wenn Kiona sie eintragen soll.</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