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1 – Guida alla progettazione e all'integrazione</w:t>
      </w:r>
    </w:p>
    <w:p>
      <w:pPr>
        <w:pStyle w:val="Rubrik2"/>
        <w:spacing w:before="200" w:after="100"/>
      </w:pPr>
      <w:r>
        <w:rPr>
          <w:rFonts w:ascii="Arial" w:hAnsi="Arial" w:cs="Arial"/>
          <w:sz w:val="26"/>
          <w:szCs w:val="26"/>
          <w:b/>
          <w:bCs/>
        </w:rPr>
        <w:t>1.1 – Scopo</w:t>
      </w:r>
    </w:p>
    <w:p>
      <w:pPr>
        <w:spacing w:before="0" w:after="120"/>
      </w:pPr>
      <w:r>
        <w:rPr>
          <w:rFonts w:ascii="Arial" w:hAnsi="Arial" w:cs="Arial"/>
          <w:sz w:val="22"/>
          <w:szCs w:val="22"/>
        </w:rPr>
        <w:t xml:space="preserve">Questa guida è stata preparata per garantire il miglior risultato possibile nella fornitura da parte di </w:t>
      </w:r>
      <w:r>
        <w:rPr>
          <w:rFonts w:ascii="Arial" w:hAnsi="Arial" w:cs="Arial"/>
          <w:sz w:val="22"/>
          <w:szCs w:val="22"/>
          <w:b/>
          <w:bCs/>
        </w:rPr>
        <w:t>Kiona</w:t>
      </w:r>
      <w:r>
        <w:rPr>
          <w:rFonts w:ascii="Arial" w:hAnsi="Arial" w:cs="Arial"/>
          <w:sz w:val="22"/>
          <w:szCs w:val="22"/>
        </w:rPr>
        <w:t xml:space="preserve">. La guida fornisce informazioni sulla documentazione di supporto necessaria per la fornitura dell'automazione. La fornitura include il </w:t>
      </w:r>
      <w:r>
        <w:rPr>
          <w:rFonts w:ascii="Arial" w:hAnsi="Arial" w:cs="Arial"/>
          <w:sz w:val="22"/>
          <w:szCs w:val="22"/>
          <w:b/>
          <w:bCs/>
        </w:rPr>
        <w:t>IWMAC</w:t>
      </w:r>
      <w:r>
        <w:rPr>
          <w:rFonts w:ascii="Arial" w:hAnsi="Arial" w:cs="Arial"/>
          <w:sz w:val="22"/>
          <w:szCs w:val="22"/>
        </w:rPr>
        <w:t xml:space="preserve"> sistema di supervisione e i relativi servizi aggiuntivi. Le appendici descrivono la documentazione necessaria per la fornitura con dettagli specifici per determinati tipi di impianto e protocolli.</w:t>
      </w:r>
    </w:p>
    <w:p>
      <w:pPr>
        <w:spacing w:before="0" w:after="120"/>
      </w:pPr>
      <w:r>
        <w:rPr>
          <w:rFonts w:ascii="Arial" w:hAnsi="Arial" w:cs="Arial"/>
          <w:sz w:val="22"/>
          <w:szCs w:val="22"/>
        </w:rPr>
        <w:t xml:space="preserve">Tutti gli esempi e i modelli sono disponibili anche sui siti Web dei nostri partner certificati </w:t>
      </w:r>
      <w:r>
        <w:rPr>
          <w:rFonts w:ascii="Arial" w:hAnsi="Arial" w:cs="Arial"/>
          <w:sz w:val="22"/>
          <w:szCs w:val="22"/>
          <w:b/>
          <w:bCs/>
        </w:rPr>
        <w:t>Kiona</w:t>
      </w:r>
      <w:r>
        <w:rPr>
          <w:rFonts w:ascii="Arial" w:hAnsi="Arial" w:cs="Arial"/>
          <w:sz w:val="22"/>
          <w:szCs w:val="22"/>
        </w:rPr>
        <w:t>.</w:t>
      </w:r>
    </w:p>
    <w:p>
      <w:pPr>
        <w:spacing w:before="0" w:after="120"/>
      </w:pPr>
      <w:r>
        <w:rPr>
          <w:rFonts w:ascii="Arial" w:hAnsi="Arial" w:cs="Arial"/>
          <w:sz w:val="22"/>
          <w:szCs w:val="22"/>
        </w:rPr>
        <w:t xml:space="preserve">Se non riuscite a trovare un modello, contattate il vostro referente </w:t>
      </w:r>
      <w:r>
        <w:rPr>
          <w:rFonts w:ascii="Arial" w:hAnsi="Arial" w:cs="Arial"/>
          <w:sz w:val="22"/>
          <w:szCs w:val="22"/>
          <w:b/>
          <w:bCs/>
        </w:rPr>
        <w:t>Kiona</w:t>
      </w:r>
      <w:r>
        <w:rPr>
          <w:rFonts w:ascii="Arial" w:hAnsi="Arial" w:cs="Arial"/>
          <w:sz w:val="22"/>
          <w:szCs w:val="22"/>
        </w:rPr>
        <w:t xml:space="preserve"> nelle vendite o nelle consegne.</w:t>
      </w:r>
    </w:p>
    <w:p>
      <w:pPr>
        <w:spacing w:after="0"/>
      </w:pPr>
    </w:p>
    <w:p>
      <w:pPr>
        <w:pStyle w:val="Rubrik2"/>
        <w:spacing w:before="200" w:after="100"/>
      </w:pPr>
      <w:r>
        <w:rPr>
          <w:rFonts w:ascii="Arial" w:hAnsi="Arial" w:cs="Arial"/>
          <w:sz w:val="26"/>
          <w:szCs w:val="26"/>
          <w:b/>
          <w:bCs/>
        </w:rPr>
        <w:t>1.2 – Infrastruttura di rete/ICT</w:t>
      </w:r>
    </w:p>
    <w:p>
      <w:pPr>
        <w:spacing w:before="0" w:after="120"/>
      </w:pPr>
      <w:r>
        <w:rPr>
          <w:rFonts w:ascii="Arial" w:hAnsi="Arial" w:cs="Arial"/>
          <w:sz w:val="22"/>
          <w:szCs w:val="22"/>
        </w:rPr>
        <w:t xml:space="preserve">Una volta effettuato l'ordine, </w:t>
      </w:r>
      <w:r>
        <w:rPr>
          <w:rFonts w:ascii="Arial" w:hAnsi="Arial" w:cs="Arial"/>
          <w:sz w:val="22"/>
          <w:szCs w:val="22"/>
          <w:b/>
          <w:bCs/>
        </w:rPr>
        <w:t>Kiona</w:t>
      </w:r>
      <w:r>
        <w:rPr>
          <w:rFonts w:ascii="Arial" w:hAnsi="Arial" w:cs="Arial"/>
          <w:sz w:val="22"/>
          <w:szCs w:val="22"/>
        </w:rPr>
        <w:t xml:space="preserve"> invia un server di installazione. Per avviare la fornitura, è necessario stabilire il contatto con il server di installazione inviato ben prima dell'avvio pianificato. Iniziate i preparativi necessari affinché la rete sia pronta in tempo.</w:t>
      </w:r>
    </w:p>
    <w:p>
      <w:pPr>
        <w:spacing w:before="0" w:after="120"/>
      </w:pPr>
      <w:r>
        <w:rPr>
          <w:rFonts w:ascii="Arial" w:hAnsi="Arial" w:cs="Arial"/>
          <w:sz w:val="22"/>
          <w:szCs w:val="22"/>
        </w:rPr>
        <w:t xml:space="preserve">È importante che il cliente chiarisca tempestivamente con il cliente finale se il server di installazione deve comunicare con il cloud </w:t>
      </w:r>
      <w:r>
        <w:rPr>
          <w:rFonts w:ascii="Arial" w:hAnsi="Arial" w:cs="Arial"/>
          <w:sz w:val="22"/>
          <w:szCs w:val="22"/>
          <w:b/>
          <w:bCs/>
        </w:rPr>
        <w:t>Kiona</w:t>
      </w:r>
      <w:r>
        <w:rPr>
          <w:rFonts w:ascii="Arial" w:hAnsi="Arial" w:cs="Arial"/>
          <w:sz w:val="22"/>
          <w:szCs w:val="22"/>
        </w:rPr>
        <w:t xml:space="preserve"> tramite connessione internet diretta o VPN. Una volta ricevute le informazioni dal cliente, </w:t>
      </w:r>
      <w:r>
        <w:rPr>
          <w:rFonts w:ascii="Arial" w:hAnsi="Arial" w:cs="Arial"/>
          <w:sz w:val="22"/>
          <w:szCs w:val="22"/>
          <w:b/>
          <w:bCs/>
        </w:rPr>
        <w:t>Kiona</w:t>
      </w:r>
      <w:r>
        <w:rPr>
          <w:rFonts w:ascii="Arial" w:hAnsi="Arial" w:cs="Arial"/>
          <w:sz w:val="22"/>
          <w:szCs w:val="22"/>
        </w:rPr>
        <w:t xml:space="preserve"> ordina la configurazione corretta presso il proprio fornitore di rete.</w:t>
      </w:r>
    </w:p>
    <w:p>
      <w:pPr>
        <w:spacing w:before="0" w:after="120"/>
      </w:pPr>
      <w:r>
        <w:rPr>
          <w:rFonts w:ascii="Arial" w:hAnsi="Arial" w:cs="Arial"/>
          <w:sz w:val="22"/>
          <w:szCs w:val="22"/>
        </w:rPr>
        <w:t xml:space="preserve">All'inizio della fornitura riceverete un modulo standard per la connessione internet e VPN che descrive le informazioni di cui </w:t>
      </w:r>
      <w:r>
        <w:rPr>
          <w:rFonts w:ascii="Arial" w:hAnsi="Arial" w:cs="Arial"/>
          <w:sz w:val="22"/>
          <w:szCs w:val="22"/>
          <w:b/>
          <w:bCs/>
        </w:rPr>
        <w:t>Kiona</w:t>
      </w:r>
      <w:r>
        <w:rPr>
          <w:rFonts w:ascii="Arial" w:hAnsi="Arial" w:cs="Arial"/>
          <w:sz w:val="22"/>
          <w:szCs w:val="22"/>
        </w:rPr>
        <w:t xml:space="preserve"> ha bisogno e la configurazione che il cliente finale deve eseguire per mettere online il server di installazione. </w:t>
      </w:r>
      <w:r>
        <w:rPr>
          <w:rFonts w:ascii="Arial" w:hAnsi="Arial" w:cs="Arial"/>
          <w:sz w:val="22"/>
          <w:szCs w:val="22"/>
          <w:b/>
          <w:bCs/>
        </w:rPr>
        <w:t>Kiona</w:t>
      </w:r>
      <w:r>
        <w:rPr>
          <w:rFonts w:ascii="Arial" w:hAnsi="Arial" w:cs="Arial"/>
          <w:sz w:val="22"/>
          <w:szCs w:val="22"/>
        </w:rPr>
        <w:t xml:space="preserve"> non potrà iniziare il lavoro finché i moduli non saranno stati restituiti e le impostazioni descritte verificate.</w:t>
      </w:r>
    </w:p>
    <w:p>
      <w:pPr>
        <w:spacing w:before="0" w:after="120"/>
      </w:pPr>
      <w:r>
        <w:rPr>
          <w:rFonts w:ascii="Arial" w:hAnsi="Arial" w:cs="Arial"/>
          <w:sz w:val="22"/>
          <w:szCs w:val="22"/>
        </w:rPr>
        <w:t xml:space="preserve">Un server di installazione viene fornito con due schede di rete. </w:t>
      </w:r>
      <w:r>
        <w:rPr>
          <w:rFonts w:ascii="Arial" w:hAnsi="Arial" w:cs="Arial"/>
          <w:sz w:val="22"/>
          <w:szCs w:val="22"/>
          <w:b/>
          <w:bCs/>
        </w:rPr>
        <w:t>Kiona</w:t>
      </w:r>
      <w:r>
        <w:rPr>
          <w:rFonts w:ascii="Arial" w:hAnsi="Arial" w:cs="Arial"/>
          <w:sz w:val="22"/>
          <w:szCs w:val="22"/>
        </w:rPr>
        <w:t xml:space="preserve"> deve disporre di due connessioni di rete – questa è un'informazione importante che il cliente deve ottenere. Si raccomanda di riservare un'interfaccia per la connessione internet e di mantenerla separata dalla rete tecnica. La seconda interfaccia è collegata alla rete tecnica.</w:t>
      </w:r>
    </w:p>
    <w:p>
      <w:pPr>
        <w:spacing w:before="0" w:after="120"/>
      </w:pPr>
      <w:r>
        <w:rPr>
          <w:rFonts w:ascii="Arial" w:hAnsi="Arial" w:cs="Arial"/>
          <w:sz w:val="22"/>
          <w:szCs w:val="22"/>
        </w:rPr>
        <w:t xml:space="preserve">I convertitori forniti da </w:t>
      </w:r>
      <w:r>
        <w:rPr>
          <w:rFonts w:ascii="Arial" w:hAnsi="Arial" w:cs="Arial"/>
          <w:sz w:val="22"/>
          <w:szCs w:val="22"/>
          <w:b/>
          <w:bCs/>
        </w:rPr>
        <w:t>Kiona</w:t>
      </w:r>
      <w:r>
        <w:rPr>
          <w:rFonts w:ascii="Arial" w:hAnsi="Arial" w:cs="Arial"/>
          <w:sz w:val="22"/>
          <w:szCs w:val="22"/>
        </w:rPr>
        <w:t xml:space="preserve"> saranno configurati come parte della fornitura una volta trasferite le informazioni necessarie. Per i convertitori non forniti da </w:t>
      </w:r>
      <w:r>
        <w:rPr>
          <w:rFonts w:ascii="Arial" w:hAnsi="Arial" w:cs="Arial"/>
          <w:sz w:val="22"/>
          <w:szCs w:val="22"/>
          <w:b/>
          <w:bCs/>
        </w:rPr>
        <w:t>Kiona</w:t>
      </w:r>
      <w:r>
        <w:rPr>
          <w:rFonts w:ascii="Arial" w:hAnsi="Arial" w:cs="Arial"/>
          <w:sz w:val="22"/>
          <w:szCs w:val="22"/>
        </w:rPr>
        <w:t xml:space="preserve">, </w:t>
      </w:r>
      <w:r>
        <w:rPr>
          <w:rFonts w:ascii="Arial" w:hAnsi="Arial" w:cs="Arial"/>
          <w:sz w:val="22"/>
          <w:szCs w:val="22"/>
          <w:b/>
          <w:bCs/>
        </w:rPr>
        <w:t>Kiona</w:t>
      </w:r>
      <w:r>
        <w:rPr>
          <w:rFonts w:ascii="Arial" w:hAnsi="Arial" w:cs="Arial"/>
          <w:sz w:val="22"/>
          <w:szCs w:val="22"/>
        </w:rPr>
        <w:t xml:space="preserve"> può assistere nella configurazione e nell'installazione sul PC di installazione. Questo servizio non è incluso nella fornitura e sarà trattato come opzione aggiuntiva.</w:t>
      </w:r>
    </w:p>
    <w:p>
      <w:pPr>
        <w:spacing w:after="0"/>
      </w:pPr>
    </w:p>
    <w:p>
      <w:pPr>
        <w:pStyle w:val="Rubrik2"/>
        <w:spacing w:before="200" w:after="100"/>
      </w:pPr>
      <w:r>
        <w:rPr>
          <w:rFonts w:ascii="Arial" w:hAnsi="Arial" w:cs="Arial"/>
          <w:sz w:val="26"/>
          <w:szCs w:val="26"/>
          <w:b/>
          <w:bCs/>
        </w:rPr>
        <w:t>1.3 – Topologia</w:t>
      </w:r>
    </w:p>
    <w:p>
      <w:pPr>
        <w:spacing w:before="0" w:after="120"/>
      </w:pPr>
      <w:r>
        <w:rPr>
          <w:rFonts w:ascii="Arial" w:hAnsi="Arial" w:cs="Arial"/>
          <w:sz w:val="22"/>
          <w:szCs w:val="22"/>
        </w:rPr>
        <w:t xml:space="preserve">Per stabilire una connessione di comunicazione con tutti i dispositivi di automazione, </w:t>
      </w:r>
      <w:r>
        <w:rPr>
          <w:rFonts w:ascii="Arial" w:hAnsi="Arial" w:cs="Arial"/>
          <w:sz w:val="22"/>
          <w:szCs w:val="22"/>
          <w:b/>
          <w:bCs/>
        </w:rPr>
        <w:t>Kiona</w:t>
      </w:r>
      <w:r>
        <w:rPr>
          <w:rFonts w:ascii="Arial" w:hAnsi="Arial" w:cs="Arial"/>
          <w:sz w:val="22"/>
          <w:szCs w:val="22"/>
        </w:rPr>
        <w:t xml:space="preserve"> ha bisogno di una topologia completa che elenca tutte le informazioni di rete necessarie. </w:t>
      </w:r>
      <w:r>
        <w:rPr>
          <w:rFonts w:ascii="Arial" w:hAnsi="Arial" w:cs="Arial"/>
          <w:sz w:val="22"/>
          <w:szCs w:val="22"/>
          <w:b/>
          <w:bCs/>
        </w:rPr>
        <w:t>Kiona</w:t>
      </w:r>
      <w:r>
        <w:rPr>
          <w:rFonts w:ascii="Arial" w:hAnsi="Arial" w:cs="Arial"/>
          <w:sz w:val="22"/>
          <w:szCs w:val="22"/>
        </w:rPr>
        <w:t xml:space="preserve"> dipende dalla ricezione di tutte le informazioni sui convertitori da seriale a rete, con una panoramica dei dispositivi di automazione collegati alle varie porte.</w:t>
      </w:r>
    </w:p>
    <w:p>
      <w:pPr>
        <w:spacing w:before="0" w:after="120"/>
      </w:pPr>
      <w:r>
        <w:rPr>
          <w:rFonts w:ascii="Arial" w:hAnsi="Arial" w:cs="Arial"/>
          <w:sz w:val="22"/>
          <w:szCs w:val="22"/>
        </w:rPr>
        <w:t>Vedere i seguenti esempi:</w:t>
      </w:r>
    </w:p>
    <w:p>
      <w:pPr>
        <w:pStyle w:val="Liststycke"/>
        <w:numPr>
          <w:ilvl w:val="0"/>
          <w:numId w:val="1"/>
        </w:numPr>
        <w:spacing w:after="80"/>
      </w:pPr>
      <w:r>
        <w:rPr>
          <w:rFonts w:ascii="Arial" w:hAnsi="Arial" w:cs="Arial"/>
          <w:sz w:val="22"/>
          <w:szCs w:val="22"/>
        </w:rPr>
        <w:t>Grafik</w:t>
      </w:r>
    </w:p>
    <w:p>
      <w:pPr>
        <w:pStyle w:val="Liststycke"/>
        <w:numPr>
          <w:ilvl w:val="0"/>
          <w:numId w:val="1"/>
        </w:numPr>
        <w:spacing w:after="80"/>
      </w:pPr>
      <w:r>
        <w:rPr>
          <w:rFonts w:ascii="Arial" w:hAnsi="Arial" w:cs="Arial"/>
          <w:sz w:val="22"/>
          <w:szCs w:val="22"/>
          <w:i/>
        </w:rPr>
        <w:t>IWMAC MODELLO 12 – Topologia.png</w:t>
      </w:r>
    </w:p>
    <w:p>
      <w:pPr>
        <w:pStyle w:val="Liststycke"/>
        <w:numPr>
          <w:ilvl w:val="0"/>
          <w:numId w:val="1"/>
        </w:numPr>
        <w:spacing w:after="80"/>
      </w:pPr>
      <w:r>
        <w:rPr>
          <w:rFonts w:ascii="Arial" w:hAnsi="Arial" w:cs="Arial"/>
          <w:sz w:val="22"/>
          <w:szCs w:val="22"/>
          <w:i/>
        </w:rPr>
        <w:t>IWMAC MODELLO 13 – Topologia (gliffy)</w:t>
      </w:r>
    </w:p>
    <w:p>
      <w:pPr>
        <w:pStyle w:val="Liststycke"/>
        <w:numPr>
          <w:ilvl w:val="0"/>
          <w:numId w:val="1"/>
        </w:numPr>
        <w:spacing w:after="80"/>
      </w:pPr>
      <w:r>
        <w:rPr>
          <w:rFonts w:ascii="Arial" w:hAnsi="Arial" w:cs="Arial"/>
          <w:sz w:val="22"/>
          <w:szCs w:val="22"/>
        </w:rPr>
        <w:t>Excel</w:t>
      </w:r>
    </w:p>
    <w:p>
      <w:pPr>
        <w:pStyle w:val="Liststycke"/>
        <w:numPr>
          <w:ilvl w:val="0"/>
          <w:numId w:val="1"/>
        </w:numPr>
        <w:spacing w:after="80"/>
      </w:pPr>
      <w:r>
        <w:rPr>
          <w:rFonts w:ascii="Arial" w:hAnsi="Arial" w:cs="Arial"/>
          <w:sz w:val="22"/>
          <w:szCs w:val="22"/>
          <w:i/>
        </w:rPr>
        <w:t>IWMAC MODELLO 11 – Topologia IP e convertitori seriali.xltx</w:t>
      </w:r>
    </w:p>
    <w:p>
      <w:pPr>
        <w:spacing w:after="0"/>
      </w:pPr>
    </w:p>
    <w:p>
      <w:pPr>
        <w:pStyle w:val="Rubrik2"/>
        <w:spacing w:before="200" w:after="100"/>
      </w:pPr>
      <w:r>
        <w:rPr>
          <w:rFonts w:ascii="Arial" w:hAnsi="Arial" w:cs="Arial"/>
          <w:sz w:val="26"/>
          <w:szCs w:val="26"/>
          <w:b/>
          <w:bCs/>
        </w:rPr>
        <w:t>1.4 – Elenchi di parametri, nomi dei tag e descrizioni</w:t>
      </w:r>
    </w:p>
    <w:p>
      <w:pPr>
        <w:spacing w:before="0" w:after="120"/>
      </w:pPr>
      <w:r>
        <w:rPr>
          <w:rFonts w:ascii="Arial" w:hAnsi="Arial" w:cs="Arial"/>
          <w:sz w:val="22"/>
          <w:szCs w:val="22"/>
        </w:rPr>
        <w:t>IWMAC</w:t>
      </w:r>
      <w:r>
        <w:rPr>
          <w:rFonts w:ascii="Arial" w:hAnsi="Arial" w:cs="Arial"/>
          <w:sz w:val="22"/>
          <w:szCs w:val="22"/>
        </w:rPr>
        <w:t xml:space="preserve"> utilizza nomi e descrizioni ricevuti nella documentazione di supporto del cliente. In alcuni casi, questi possono essere letti dagli scanner direttamente dalle apparecchiature. Affinché </w:t>
      </w:r>
      <w:r>
        <w:rPr>
          <w:rFonts w:ascii="Arial" w:hAnsi="Arial" w:cs="Arial"/>
          <w:sz w:val="22"/>
          <w:szCs w:val="22"/>
          <w:b/>
          <w:bCs/>
        </w:rPr>
        <w:t>Kiona</w:t>
      </w:r>
      <w:r>
        <w:rPr>
          <w:rFonts w:ascii="Arial" w:hAnsi="Arial" w:cs="Arial"/>
          <w:sz w:val="22"/>
          <w:szCs w:val="22"/>
        </w:rPr>
        <w:t xml:space="preserve"> possa fornire agli utenti finali nomi di tag leggibili e localizzabili, gli elenchi di dati devono contenere le informazioni necessarie e una struttura che consenta a </w:t>
      </w:r>
      <w:r>
        <w:rPr>
          <w:rFonts w:ascii="Arial" w:hAnsi="Arial" w:cs="Arial"/>
          <w:sz w:val="22"/>
          <w:szCs w:val="22"/>
          <w:b/>
          <w:bCs/>
        </w:rPr>
        <w:t>Kiona</w:t>
      </w:r>
      <w:r>
        <w:rPr>
          <w:rFonts w:ascii="Arial" w:hAnsi="Arial" w:cs="Arial"/>
          <w:sz w:val="22"/>
          <w:szCs w:val="22"/>
        </w:rPr>
        <w:t xml:space="preserve"> di costruire correttamente i database dei tag.</w:t>
      </w:r>
    </w:p>
    <w:p>
      <w:pPr>
        <w:spacing w:before="0" w:after="120"/>
      </w:pPr>
      <w:r>
        <w:rPr>
          <w:rFonts w:ascii="Arial" w:hAnsi="Arial" w:cs="Arial"/>
          <w:sz w:val="22"/>
          <w:szCs w:val="22"/>
        </w:rPr>
        <w:t>Ecco alcune linee guida generali:</w:t>
      </w:r>
    </w:p>
    <w:p>
      <w:pPr>
        <w:pStyle w:val="Liststycke"/>
        <w:numPr>
          <w:ilvl w:val="0"/>
          <w:numId w:val="1"/>
        </w:numPr>
        <w:spacing w:after="80"/>
      </w:pPr>
      <w:r>
        <w:rPr>
          <w:rFonts w:ascii="Arial" w:hAnsi="Arial" w:cs="Arial"/>
          <w:sz w:val="22"/>
          <w:szCs w:val="22"/>
        </w:rPr>
        <w:t>Kiona presuppone che per ogni riga di parametro/tag venga inserito un numero di sistema e un codice componente del sistema di marcatura interdisciplinare (TFM), oltre a una semplice descrizione del parametro, per componente fisico o per funzione.</w:t>
      </w:r>
    </w:p>
    <w:p>
      <w:pPr>
        <w:pStyle w:val="Liststycke"/>
        <w:numPr>
          <w:ilvl w:val="0"/>
          <w:numId w:val="1"/>
        </w:numPr>
        <w:spacing w:after="80"/>
      </w:pPr>
      <w:r>
        <w:rPr>
          <w:rFonts w:ascii="Arial" w:hAnsi="Arial" w:cs="Arial"/>
          <w:sz w:val="22"/>
          <w:szCs w:val="22"/>
        </w:rPr>
        <w:t>Per il controllo delle stanze, deve essere possibile separare ogni stanza, piano e, se necessario, edificio o ala.</w:t>
      </w:r>
    </w:p>
    <w:p>
      <w:pPr>
        <w:pStyle w:val="Liststycke"/>
        <w:numPr>
          <w:ilvl w:val="0"/>
          <w:numId w:val="1"/>
        </w:numPr>
        <w:spacing w:after="80"/>
      </w:pPr>
      <w:r>
        <w:rPr>
          <w:rFonts w:ascii="Arial" w:hAnsi="Arial" w:cs="Arial"/>
          <w:sz w:val="22"/>
          <w:szCs w:val="22"/>
        </w:rPr>
        <w:t>Tutte le funzioni simili in ciascuna stanza devono ricevere lo stesso codice funzione.</w:t>
      </w:r>
    </w:p>
    <w:p>
      <w:pPr>
        <w:pStyle w:val="Liststycke"/>
        <w:numPr>
          <w:ilvl w:val="0"/>
          <w:numId w:val="1"/>
        </w:numPr>
        <w:spacing w:after="80"/>
      </w:pPr>
      <w:r>
        <w:rPr>
          <w:rFonts w:ascii="Arial" w:hAnsi="Arial" w:cs="Arial"/>
          <w:sz w:val="22"/>
          <w:szCs w:val="22"/>
        </w:rPr>
        <w:t>Per i componenti centrali di livello superiore e le funzioni delimitate per zona, l'assegnazione di zona/gruppo deve essere indicata per ogni riga di parametro.</w:t>
      </w:r>
    </w:p>
    <w:p>
      <w:pPr>
        <w:pStyle w:val="Liststycke"/>
        <w:numPr>
          <w:ilvl w:val="0"/>
          <w:numId w:val="1"/>
        </w:numPr>
        <w:spacing w:after="80"/>
      </w:pPr>
      <w:r>
        <w:rPr>
          <w:rFonts w:ascii="Arial" w:hAnsi="Arial" w:cs="Arial"/>
          <w:sz w:val="22"/>
          <w:szCs w:val="22"/>
        </w:rPr>
        <w:t>Per gli elenchi che riguardano un dispositivo che serve un solo numero di sistema, il numero di sistema può essere omesso.</w:t>
      </w:r>
    </w:p>
    <w:p>
      <w:pPr>
        <w:spacing w:before="0" w:after="120"/>
      </w:pPr>
      <w:r>
        <w:rPr>
          <w:rFonts w:ascii="Arial" w:hAnsi="Arial" w:cs="Arial"/>
          <w:sz w:val="22"/>
          <w:szCs w:val="22"/>
        </w:rPr>
        <w:t xml:space="preserve">Lo standard del codice componente </w:t>
      </w:r>
      <w:r>
        <w:rPr>
          <w:rFonts w:ascii="Arial" w:hAnsi="Arial" w:cs="Arial"/>
          <w:sz w:val="22"/>
          <w:szCs w:val="22"/>
          <w:b/>
          <w:bCs/>
        </w:rPr>
        <w:t>IWMAC</w:t>
      </w:r>
      <w:r>
        <w:rPr>
          <w:rFonts w:ascii="Arial" w:hAnsi="Arial" w:cs="Arial"/>
          <w:sz w:val="22"/>
          <w:szCs w:val="22"/>
        </w:rPr>
        <w:t xml:space="preserve"> viene utilizzato nelle immagini salvo diverso accordo o se i codici componente non sono nell'elenco tag o nel relativo schema di sistema. Tutta la documentazione di supporto deve essere coerente nella codifica dei caratteri affinché </w:t>
      </w:r>
      <w:r>
        <w:rPr>
          <w:rFonts w:ascii="Arial" w:hAnsi="Arial" w:cs="Arial"/>
          <w:sz w:val="22"/>
          <w:szCs w:val="22"/>
          <w:b/>
          <w:bCs/>
        </w:rPr>
        <w:t>Kiona</w:t>
      </w:r>
      <w:r>
        <w:rPr>
          <w:rFonts w:ascii="Arial" w:hAnsi="Arial" w:cs="Arial"/>
          <w:sz w:val="22"/>
          <w:szCs w:val="22"/>
        </w:rPr>
        <w:t xml:space="preserve"> possa identificare le assegnazioni dei componenti.</w:t>
      </w:r>
    </w:p>
    <w:p>
      <w:pPr>
        <w:spacing w:after="0"/>
      </w:pPr>
    </w:p>
    <w:p>
      <w:pPr>
        <w:pStyle w:val="Normal"/>
      </w:pPr>
      <w:r>
        <w:t xml:space="preserve">Per gli oggetti BACnet, la codifica TFM può spesso essere inclusa nel nome dell’oggetto stesso, mentre la descrizione viene aggiunta nell’attributo “description”. Altre strutturazioni sono possibili purché il tag contenga tutte le informazioni necessarie e la struttura precedentemente descritta.</w:t>
      </w:r>
    </w:p>
    <w:p>
      <w:pPr>
        <w:pStyle w:val="Normal"/>
      </w:pPr>
      <w:r>
        <w:t xml:space="preserve">Nelle liste tag Modbus, KNX, OPC, N2 e simili, tipicamente sia la codifica TFM che la descrizione possono far parte di un unico testo. È quindi importante che la struttura sia la stessa per tutte le righe, con il codice sistema-componente-funzione in ordine fisso – con delimitatori fissi prima e la descrizione alla fine.</w:t>
      </w:r>
    </w:p>
    <w:p>
      <w:pPr>
        <w:pStyle w:val="ListParagraph"/>
      </w:pPr>
      <w:r>
        <w:t xml:space="preserve">R201_SQ501_spjv – Ripresa VAV1 angolo serranda</w:t>
      </w:r>
    </w:p>
    <w:p>
      <w:pPr>
        <w:pStyle w:val="ListParagraph"/>
      </w:pPr>
      <w:r>
        <w:t xml:space="preserve">R201_SQ402_lm – Mandata VAV2 portata d’aria</w:t>
      </w:r>
    </w:p>
    <w:p>
      <w:pPr>
        <w:pStyle w:val="ListParagraph"/>
      </w:pPr>
      <w:r>
        <w:t xml:space="preserve">R201_SQ401_lm – Mandata VAV1 portata d’aria</w:t>
      </w:r>
    </w:p>
    <w:p>
      <w:pPr>
        <w:pStyle w:val="ListParagraph"/>
      </w:pPr>
      <w:r>
        <w:t xml:space="preserve">R201_HVlv – Comando riscaldamento</w:t>
      </w:r>
    </w:p>
    <w:p>
      <w:pPr>
        <w:pStyle w:val="ListParagraph"/>
      </w:pPr>
      <w:r>
        <w:t xml:space="preserve">R201_BasSetp – Setpoint base</w:t>
      </w:r>
    </w:p>
    <w:p>
      <w:pPr>
        <w:pStyle w:val="ListParagraph"/>
      </w:pPr>
      <w:r>
        <w:t xml:space="preserve">R201_Erverdi – Temperatura stanza</w:t>
      </w:r>
    </w:p>
    <w:p>
      <w:pPr>
        <w:pStyle w:val="Heading3"/>
      </w:pPr>
      <w:r>
        <w:t xml:space="preserve">Esempio per stanze:</w:t>
      </w:r>
    </w:p>
    <w:p>
      <w:pPr>
        <w:pStyle w:val="ListParagraph"/>
      </w:pPr>
      <w:r>
        <w:t xml:space="preserve">360.001 RT401 Setpoint calcolato  o  n._edificio_360001_RT401_ASP setpoint lav.</w:t>
      </w:r>
    </w:p>
    <w:p>
      <w:pPr>
        <w:pStyle w:val="ListParagraph"/>
      </w:pPr>
      <w:r>
        <w:t xml:space="preserve">360.001 RT401 Temperatura mandata  o  n._edificio_360001_RT401_PV Temperatura mandata</w:t>
      </w:r>
    </w:p>
    <w:p>
      <w:pPr>
        <w:pStyle w:val="Heading3"/>
      </w:pPr>
      <w:r>
        <w:t xml:space="preserve">Esempio per sensore di temperatura (valore di processo) e parametro per il setpoint calcolato:</w:t>
      </w:r>
    </w:p>
    <w:p>
      <w:pPr>
        <w:pStyle w:val="Normal"/>
      </w:pPr>
      <w:r>
        <w:t xml:space="preserve">Lo standard di codice componente Kiona verrà utilizzato nelle immagini salvo diverso accordo, o se i codici componente non sono presenti nella lista tag o nel relativo schema di sistema. Tutta la documentazione deve essere coerente nella codifica dei caratteri affinché Kiona possa identificare l’appartenenza dei componenti.</w:t>
      </w:r>
    </w:p>
    <w:p>
      <w:pPr>
        <w:pStyle w:val="Rubrik2"/>
        <w:spacing w:before="200" w:after="100"/>
      </w:pPr>
      <w:r>
        <w:rPr>
          <w:rFonts w:ascii="Arial" w:hAnsi="Arial" w:cs="Arial"/>
          <w:sz w:val="26"/>
          <w:szCs w:val="26"/>
          <w:b/>
          <w:bCs/>
        </w:rPr>
        <w:t>1.5 – Elenchi di parametri, funzionalità di allarme e privilegi di scrittura</w:t>
      </w:r>
    </w:p>
    <w:p>
      <w:pPr>
        <w:spacing w:before="0" w:after="120"/>
      </w:pPr>
      <w:r>
        <w:rPr>
          <w:rFonts w:ascii="Arial" w:hAnsi="Arial" w:cs="Arial"/>
          <w:sz w:val="22"/>
          <w:szCs w:val="22"/>
          <w:b/>
          <w:bCs/>
        </w:rPr>
        <w:t>Kiona</w:t>
      </w:r>
      <w:r>
        <w:rPr>
          <w:rFonts w:ascii="Arial" w:hAnsi="Arial" w:cs="Arial"/>
          <w:sz w:val="22"/>
          <w:szCs w:val="22"/>
        </w:rPr>
        <w:t xml:space="preserve"> deve specificare direttamente nel database dei tag quali elementi sono leggibili e/o scrivibili. Lo stesso vale per l'indicazione del livello di allarme per i punti destinati a generare un allarme.</w:t>
      </w:r>
    </w:p>
    <w:p>
      <w:pPr>
        <w:spacing w:before="0" w:after="120"/>
      </w:pPr>
      <w:r>
        <w:rPr>
          <w:rFonts w:ascii="Arial" w:hAnsi="Arial" w:cs="Arial"/>
          <w:sz w:val="22"/>
          <w:szCs w:val="22"/>
        </w:rPr>
        <w:t>IWMAC</w:t>
      </w:r>
      <w:r>
        <w:rPr>
          <w:rFonts w:ascii="Arial" w:hAnsi="Arial" w:cs="Arial"/>
          <w:sz w:val="22"/>
          <w:szCs w:val="22"/>
        </w:rPr>
        <w:t xml:space="preserve"> normalmente richiede solo allarmi digitali nel database. Se il cliente desidera generare allarmi su valori multistate (interi) o in virgola mobile, è necessario chiarire con il responsabile della consegna di </w:t>
      </w:r>
      <w:r>
        <w:rPr>
          <w:rFonts w:ascii="Arial" w:hAnsi="Arial" w:cs="Arial"/>
          <w:sz w:val="22"/>
          <w:szCs w:val="22"/>
          <w:b/>
          <w:bCs/>
        </w:rPr>
        <w:t>Kiona</w:t>
      </w:r>
      <w:r>
        <w:rPr>
          <w:rFonts w:ascii="Arial" w:hAnsi="Arial" w:cs="Arial"/>
          <w:sz w:val="22"/>
          <w:szCs w:val="22"/>
        </w:rPr>
        <w:t xml:space="preserve"> se ciò è possibile e quali conseguenze può avere.</w:t>
      </w:r>
    </w:p>
    <w:p>
      <w:pPr>
        <w:spacing w:before="0" w:after="120"/>
      </w:pPr>
      <w:r>
        <w:rPr>
          <w:rFonts w:ascii="Arial" w:hAnsi="Arial" w:cs="Arial"/>
          <w:sz w:val="22"/>
          <w:szCs w:val="22"/>
        </w:rPr>
        <w:t xml:space="preserve">Vedere l'appendice specifica del protocollo per una panoramica delle informazioni di cui </w:t>
      </w:r>
      <w:r>
        <w:rPr>
          <w:rFonts w:ascii="Arial" w:hAnsi="Arial" w:cs="Arial"/>
          <w:sz w:val="22"/>
          <w:szCs w:val="22"/>
          <w:b/>
          <w:bCs/>
        </w:rPr>
        <w:t>Kiona</w:t>
      </w:r>
      <w:r>
        <w:rPr>
          <w:rFonts w:ascii="Arial" w:hAnsi="Arial" w:cs="Arial"/>
          <w:sz w:val="22"/>
          <w:szCs w:val="22"/>
        </w:rPr>
        <w:t xml:space="preserve"> ha bisogno riguardo a se i punti devono essere scrivibili o definire punti di allarme, nonché il relativo livello di allarme.</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Liste di controllo IWMAC</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2.1 – IWMAC Lista di controllo – BACnet.docx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2.2 – IWMAC Lista di controllo – Modbus.docx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2.3 – IWMAC Lista di controllo – N2-Open.docx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2.4 – IWMAC Lista di controllo – KNX.docx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2.5 – IWMAC Lista di controllo – OPC.docx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3.1 – IWMAC Lista di controllo – Ventilazione.docx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3.2 – IWMAC Lista di controllo – Sistemi di riscaldamento e raffreddamento.docx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3.3 – IWMAC Lista di controllo – Controllo delle stanze.docx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3.4 – IWMAC Lista di controllo – Tecnico ed elettrico.docx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3.5 – IWMAC Lista di controllo – Rapporto energetico.docx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3.6 – IWMAC Lista di controllo – EOS (Sistema di monitoraggio energetico).docx</w:t>
            </w:r>
          </w:p>
        </w:tc>
      </w:tr>
    </w:tbl>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Modelli IWMAC</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MODELLO 01 – Rapporto energetico.xltx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MODELLO 02 – Segnali tecnici.xltx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MODELLO 03 – BACnet EDE.csv</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MODELLO 04 – BACnet StateTexts.csv</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MODELLO 05 – DX9100.xltx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MODELLO 06 – EOS.xltx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MODELLO 07 – FX15.xltx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MODELLO 08 – Modbus.xltx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MODELLO 09 – Elenco stanze.xltx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MODELLO 10 – Topologia semplice, solo IP.xltx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MODELLO 11 – Topologia IP e convertitori seriali.xltx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MODELLO 12 – Topologia.png</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MODELLO 13 – Topologia (gliffy)</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