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2.1 IWMAC Lista di controllo – BACnet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Affinché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possa integrare un dispositivo in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 xml:space="preserve"> tramite BACnet/IP, sono necessarie determinate informazioni per garantire che tutto funzioni correttamente.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Il/i dispositivo/i deve/devono anche essere scansionabile/i, ovvero rispondere a "Who-is" dalla subnet a cui è connesso il PC IWMAC.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In reti più grandi suddivise in più subnet o che si estendono su internet, il cliente deve assicurarsi che l'infrastruttura IT e le sottostazioni BACnet siano configurate in modo che la sottostazione sia ricercabile.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necessita di una topologia che mostri tutte le sottostazioni con indirizzo IP, maschera di rete, indirizzo gateway, numero di rete e ID dispositivo, nonché l'identità del BBMD – e le voci della tabella FDT/BDT.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I dispositivi BACnet MS/TP devono essere collegati a un router BACnet/IP per essere ricercabili nella rete IP.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deve essere informata per ciascun dispositivo della priorità di scrittura da utilizzare se diversa da 16, che è la priorità più bassa.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La lista di controllo seguente si applica a ciascun PLC/sottostazione/controllore.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4500"/>
        <w:gridCol w:w="3360"/>
        <w:gridCol w:w="1500"/>
      </w:tblGrid>
      <w:tr>
        <w:tc>
          <w:tcPr>
            <w:tcW w:w="7860" w:type="dxa"/>
            <w:gridSpan w:val="2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Lista di controllo – integrazione dispositivo BACnet</w:t>
            </w:r>
          </w:p>
        </w:tc>
        <w:tc>
          <w:tcPr>
            <w:tcW w:w="15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FFFFFF"/>
              </w:rPr>
              <w:t>Dispositivo:____________________</w:t>
            </w:r>
          </w:p>
        </w:tc>
      </w:tr>
      <w:tr>
        <w:tc>
          <w:tcPr>
            <w:tcW w:w="4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Punto di controllo</w:t>
            </w:r>
          </w:p>
        </w:tc>
        <w:tc>
          <w:tcPr>
            <w:tcW w:w="336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Spiegazione</w:t>
            </w:r>
          </w:p>
        </w:tc>
        <w:tc>
          <w:tcPr>
            <w:tcW w:w="1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Eseguito (Sì/No)</w:t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Il dispositivo è stato completamente messo in servizio e testato funzionalmente.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Il dispositivo può essere pingato da un PC IWMAC.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Sono state aggiunte colonne aggiuntive alla fine del file EDE (Engineering Data Exchange).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Alarm Pri, Include Attri., Gruppo, Stanza – vedere modello esempio: IWMAC MODELLO 03 – BACnet EDE.csv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La colonna "settable" è stata regolata in modo che tutti i punti da rendere scrivibili in IWMAC siano "Y"; tutto il resto è impostato su "N".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 punti scrivibili sono normalmente i valori di setpoint, i commutatori di modalità e simili.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Tutti i punti con intrinsic reporting e stato di allarme attivato sono impostati su "1" nella colonna aggiuntiva "Include Attri.".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È stato creato un elenco separato degli attributi da presentare per i punti dati.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Per tutti gli oggetti in cui "Include Attri." è impostato su "1".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Ogni parametro e riga nel file EDE deve contenere un numero di sistema, componente/etichettatura e testo esplicativo.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Esempio: "320.001 RT401 Temperatura di mandata circuito radiatore blocco A".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Se il numero di sistema non appare sopra, le seguenti due righe devono essere compilate dal cliente.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La colonna "Gruppo" è stata compilata con il numero di sistema per tutte le righe nel file EDE.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Stesso numero/nome per tutti gli oggetti nello stesso sistema.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La colonna "Stanza" è stata compilata per tutti gli oggetti/righe appartenenti al controllo delle stanze/controllo di zona.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Stessa designazione di stanza per tutti gli oggetti nella stessa stanza/zona.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Per tutti gli oggetti che indicano un allarme, è stato specificato il livello di allarme come "A", "B" o "C". Deve essere compilato anche sulle righe dove "Include Attri." è impostato su "1".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A per allarme A, B per allarme B e C per allarme C. L'allarme A è il livello più alto e viene normalmente inviato tramite SMS. L'allarme C è il livello più basso.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Se ci sono allarmi binari NC (normalmente chiusi), questi devono essere elencati in una panoramica separata.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Allarme attivo quando Present value è binario "0".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Present value sugli oggetti multistate non viene utilizzato per lo stato di allarme, lo stato operativo o simili.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In caso contrario, consultare Kiona per vedere se è possibile trasformare i dati nel sistema IWMAC.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Un punto dati binario per l'acknowledging/reset degli allarmi per i singoli sistemi è stato fornito.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Il punto dovrebbe tornare automaticamente alla "posizione di riposo" dopo l'attivazione.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 IWMAC calendario di supervisionei vengono utilizzati, collegati all'oggetto: ___________________________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Tipo di oggetto e ID o nome del punto dati per il collegamento nella sottostazione, uno per ogni IWMAC calendario di supervisione. Gli oggetti possono essere binari o multistate. Se Kiona deve impostare gli orari, questi devono essere specificati in anticipo.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EDE e state texts sono stati trasmessi in formato CSV.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Vedere modello esempio per state texts: IWMAC MODELLO 04 – BACnet StateTexts.csv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Rete grande con più subnet/intervalli IP: topologia trasmessa.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