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2.3 IWMAC Lista di controllo – N2 / N2 Open</w:t>
      </w:r>
    </w:p>
    <w:p>
      <w:pPr>
        <w:spacing w:before="0" w:after="120"/>
      </w:pPr>
      <w:r>
        <w:rPr>
          <w:rFonts w:ascii="Arial" w:hAnsi="Arial" w:cs="Arial"/>
          <w:sz w:val="22"/>
          <w:szCs w:val="22"/>
        </w:rPr>
        <w:t xml:space="preserve">Affinché </w:t>
      </w:r>
      <w:r>
        <w:rPr>
          <w:rFonts w:ascii="Arial" w:hAnsi="Arial" w:cs="Arial"/>
          <w:sz w:val="22"/>
          <w:szCs w:val="22"/>
          <w:b/>
          <w:bCs/>
        </w:rPr>
        <w:t>Kiona</w:t>
      </w:r>
      <w:r>
        <w:rPr>
          <w:rFonts w:ascii="Arial" w:hAnsi="Arial" w:cs="Arial"/>
          <w:sz w:val="22"/>
          <w:szCs w:val="22"/>
        </w:rPr>
        <w:t xml:space="preserve"> possa integrare un dispositivo in </w:t>
      </w:r>
      <w:r>
        <w:rPr>
          <w:rFonts w:ascii="Arial" w:hAnsi="Arial" w:cs="Arial"/>
          <w:sz w:val="22"/>
          <w:szCs w:val="22"/>
          <w:b/>
          <w:bCs/>
        </w:rPr>
        <w:t>IWMAC</w:t>
      </w:r>
      <w:r>
        <w:rPr>
          <w:rFonts w:ascii="Arial" w:hAnsi="Arial" w:cs="Arial"/>
          <w:sz w:val="22"/>
          <w:szCs w:val="22"/>
        </w:rPr>
        <w:t xml:space="preserve"> tramite N2/N2 Open, sono necessarie determinate informazioni. Non è possibile "scansionare" dispositivi o punti dati.</w:t>
      </w:r>
    </w:p>
    <w:p>
      <w:pPr>
        <w:spacing w:before="0" w:after="120"/>
      </w:pPr>
      <w:r>
        <w:rPr>
          <w:rFonts w:ascii="Arial" w:hAnsi="Arial" w:cs="Arial"/>
          <w:sz w:val="22"/>
          <w:szCs w:val="22"/>
        </w:rPr>
        <w:t>Devono esserci parametri sufficienti affinché le funzioni di base di un sistema di supervisione siano soddisfatte (Funzionamento/Guasto/Gelo/Calendario/Temperature/Setpoint, ecc.)</w:t>
      </w:r>
    </w:p>
    <w:p>
      <w:pPr>
        <w:spacing w:after="0"/>
      </w:pPr>
    </w:p>
    <w:p>
      <w:pPr>
        <w:spacing w:before="0" w:after="120"/>
      </w:pPr>
      <w:r>
        <w:rPr>
          <w:rFonts w:ascii="Arial" w:hAnsi="Arial" w:cs="Arial"/>
          <w:sz w:val="22"/>
          <w:szCs w:val="22"/>
        </w:rPr>
        <w:t>A seconda delle apparecchiature da integrare, vengono richieste alcune variazioni nella documentazione di supporto.</w:t>
      </w:r>
    </w:p>
    <w:p>
      <w:pPr>
        <w:spacing w:before="0" w:after="120"/>
      </w:pPr>
      <w:r>
        <w:rPr>
          <w:rFonts w:ascii="Arial" w:hAnsi="Arial" w:cs="Arial"/>
          <w:sz w:val="22"/>
          <w:szCs w:val="22"/>
        </w:rPr>
        <w:t>Per ogni parametro da integrare, sono necessarie le seguenti informazioni:</w:t>
      </w:r>
    </w:p>
    <w:p>
      <w:pPr>
        <w:pStyle w:val="Liststycke"/>
        <w:numPr>
          <w:ilvl w:val="0"/>
          <w:numId w:val="1"/>
        </w:numPr>
        <w:spacing w:after="80"/>
      </w:pPr>
      <w:r>
        <w:rPr>
          <w:rFonts w:ascii="Arial" w:hAnsi="Arial" w:cs="Arial"/>
          <w:sz w:val="22"/>
          <w:szCs w:val="22"/>
        </w:rPr>
        <w:t>Descrizione con sistema, codice componente e testo descrittivo – vedere documento "1 – Guida alla progettazione e all'integrazione"</w:t>
      </w:r>
    </w:p>
    <w:p>
      <w:pPr>
        <w:pStyle w:val="Liststycke"/>
        <w:numPr>
          <w:ilvl w:val="0"/>
          <w:numId w:val="1"/>
        </w:numPr>
        <w:spacing w:after="80"/>
      </w:pPr>
      <w:r>
        <w:rPr>
          <w:rFonts w:ascii="Arial" w:hAnsi="Arial" w:cs="Arial"/>
          <w:sz w:val="22"/>
          <w:szCs w:val="22"/>
        </w:rPr>
        <w:t>Unità di misura (%, °C, ecc.)</w:t>
      </w:r>
    </w:p>
    <w:p>
      <w:pPr>
        <w:pStyle w:val="Liststycke"/>
        <w:numPr>
          <w:ilvl w:val="0"/>
          <w:numId w:val="1"/>
        </w:numPr>
        <w:spacing w:after="80"/>
      </w:pPr>
      <w:r>
        <w:rPr>
          <w:rFonts w:ascii="Arial" w:hAnsi="Arial" w:cs="Arial"/>
          <w:sz w:val="22"/>
          <w:szCs w:val="22"/>
        </w:rPr>
        <w:t>Testo di stato (0=Spento 1=Acceso 2=Auto, 0=Normale 1=Guasto, ecc.)</w:t>
      </w:r>
    </w:p>
    <w:p>
      <w:pPr>
        <w:pStyle w:val="Liststycke"/>
        <w:numPr>
          <w:ilvl w:val="0"/>
          <w:numId w:val="1"/>
        </w:numPr>
        <w:spacing w:after="80"/>
      </w:pPr>
      <w:r>
        <w:rPr>
          <w:rFonts w:ascii="Arial" w:hAnsi="Arial" w:cs="Arial"/>
          <w:sz w:val="22"/>
          <w:szCs w:val="22"/>
        </w:rPr>
        <w:t>Lettura/Lettura-Scrittura</w:t>
      </w:r>
    </w:p>
    <w:p>
      <w:pPr>
        <w:spacing w:after="0"/>
      </w:pPr>
    </w:p>
    <w:p>
      <w:pPr>
        <w:pStyle w:val="Rubrik3"/>
        <w:spacing w:before="200" w:after="100"/>
      </w:pPr>
      <w:r>
        <w:rPr>
          <w:rFonts w:ascii="Arial" w:hAnsi="Arial" w:cs="Arial"/>
          <w:sz w:val="24"/>
          <w:szCs w:val="24"/>
          <w:b/>
          <w:bCs/>
        </w:rPr>
        <w:t>N2 – Johnson DX specificamente (SYS91/Metasys)</w:t>
      </w:r>
    </w:p>
    <w:p>
      <w:pPr>
        <w:pStyle w:val="Liststycke"/>
        <w:numPr>
          <w:ilvl w:val="0"/>
          <w:numId w:val="1"/>
        </w:numPr>
        <w:spacing w:after="80"/>
      </w:pPr>
      <w:r>
        <w:rPr>
          <w:rFonts w:ascii="Arial" w:hAnsi="Arial" w:cs="Arial"/>
          <w:sz w:val="22"/>
          <w:szCs w:val="22"/>
        </w:rPr>
        <w:t>I punti interni nei regolatori devono essere specificati negli elenchi di parametri se devono essere integrati. Se IWMAC deve ad esempio controllare l'impianto con il suo calendario di supervisione su DCO1, ciò deve essere specificato.</w:t>
      </w:r>
    </w:p>
    <w:p>
      <w:pPr>
        <w:pStyle w:val="Liststycke"/>
        <w:numPr>
          <w:ilvl w:val="0"/>
          <w:numId w:val="1"/>
        </w:numPr>
        <w:spacing w:after="80"/>
      </w:pPr>
      <w:r>
        <w:rPr>
          <w:rFonts w:ascii="Arial" w:hAnsi="Arial" w:cs="Arial"/>
          <w:sz w:val="22"/>
          <w:szCs w:val="22"/>
        </w:rPr>
        <w:t>Non è sufficiente specificare solo ingressi/uscite analogici/digitali. I punti interni devono essere indicati anche per includere setpoint, curve, commutatori, allarmi su sensori, ecc.</w:t>
      </w:r>
    </w:p>
    <w:p>
      <w:pPr>
        <w:pStyle w:val="Liststycke"/>
        <w:numPr>
          <w:ilvl w:val="0"/>
          <w:numId w:val="1"/>
        </w:numPr>
        <w:spacing w:after="80"/>
      </w:pPr>
      <w:r>
        <w:rPr>
          <w:rFonts w:ascii="Arial" w:hAnsi="Arial" w:cs="Arial"/>
          <w:sz w:val="22"/>
          <w:szCs w:val="22"/>
        </w:rPr>
        <w:t>Gli elenchi di parametri per Johnson DX devono contenere gli indirizzi del protocollo N2 (secondo la documentazione Johnson, ad es.: AI1, XT3DI1, PM10K02, OUT1, HIA1, AIH1, ecc.).</w:t>
      </w:r>
    </w:p>
    <w:p>
      <w:pPr>
        <w:spacing w:after="0"/>
      </w:pPr>
    </w:p>
    <w:p>
      <w:pPr>
        <w:pStyle w:val="Rubrik3"/>
        <w:spacing w:before="200" w:after="100"/>
      </w:pPr>
      <w:r>
        <w:rPr>
          <w:rFonts w:ascii="Arial" w:hAnsi="Arial" w:cs="Arial"/>
          <w:sz w:val="24"/>
          <w:szCs w:val="24"/>
          <w:b/>
          <w:bCs/>
        </w:rPr>
        <w:t>N2 Open – Johnson FX specificamente</w:t>
      </w:r>
    </w:p>
    <w:p>
      <w:pPr>
        <w:pStyle w:val="Liststycke"/>
        <w:numPr>
          <w:ilvl w:val="0"/>
          <w:numId w:val="1"/>
        </w:numPr>
        <w:spacing w:after="80"/>
      </w:pPr>
      <w:r>
        <w:rPr>
          <w:rFonts w:ascii="Arial" w:hAnsi="Arial" w:cs="Arial"/>
          <w:sz w:val="22"/>
          <w:szCs w:val="22"/>
        </w:rPr>
        <w:t>Non è sufficiente inviare il file .prn per la configurazione di un regolatore FX, in quanto contiene troppo pochi caratteri e troppe poche informazioni per ottenere una buona spiegazione dei vari parametri.</w:t>
      </w:r>
    </w:p>
    <w:p>
      <w:pPr>
        <w:pStyle w:val="Liststycke"/>
        <w:numPr>
          <w:ilvl w:val="0"/>
          <w:numId w:val="1"/>
        </w:numPr>
        <w:spacing w:after="80"/>
      </w:pPr>
      <w:r>
        <w:rPr>
          <w:rFonts w:ascii="Arial" w:hAnsi="Arial" w:cs="Arial"/>
          <w:sz w:val="22"/>
          <w:szCs w:val="22"/>
        </w:rPr>
        <w:t>Se vengono utilizzati punti ADI con bit, questi devono essere specificati in modo particolare nell'elenco dei parametri.</w:t>
      </w:r>
    </w:p>
    <w:p>
      <w:pPr>
        <w:pStyle w:val="Liststycke"/>
        <w:numPr>
          <w:ilvl w:val="0"/>
          <w:numId w:val="1"/>
        </w:numPr>
        <w:spacing w:after="80"/>
      </w:pPr>
      <w:r>
        <w:rPr>
          <w:rFonts w:ascii="Arial" w:hAnsi="Arial" w:cs="Arial"/>
          <w:sz w:val="22"/>
          <w:szCs w:val="22"/>
        </w:rPr>
        <w:t>Gli elenchi di parametri per Johnson FX configurati in Excel devono contenere gli indirizzi del protocollo N2 (adf1, adi1, bd1, adi1, bit1).</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Lista di controllo – N2</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Dispositivo:____________________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Punto di controllo</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Spiegazione</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Eseguito (Sì/No)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Verificare il numero di dispositivi e il tasso di aggiornamento</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È stata effettuata una valutazione del numero di dispositivi sui loop seriali per garantire un tasso di aggiornamento sufficiente.</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Verificare gli indirizzi e la configurazione di comunicazione</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Tutti i dispositivi seriali su un loop hanno indirizzi slave univoci e una configurazione di comunicazione simile. Baud rate, bit di dati e di stop, parità.</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Il/i dispositivo/i è/sono stato/i completamente messo/i in servizio e testato/i funzionalmente.</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La topologia di bus con tutti i dispositivi è stata trasmessa.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Indirizzi slave, impostazioni di comunicazione, indirizzi IP, porte COM, convertitori multimediali ecc. sono descritti.</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Lista tag</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La lista tag completa è stata preparata come descritto in questa guida e trasmessa a Kiona.</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