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2.4 IWMAC Lista di controllo – KNX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integrare KNX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sono necessarie determinate informazioni. Il cliente deve esportare e trasferire i dati necessari da ETS.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Prima che l'impianto venga programmato, la struttura degli indirizzi di gruppo e la denominazione devono essere trasmesse 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per revisione e approvazione.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KNX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Dispositivo:____________________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(Sì/No/-)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struttura degli indirizzi di gruppo è stata chiarita e approvata da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struttura è stata anche adattata per un collegamento efficiente delle immagini di controllo delle stanze.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Tutti i parametri sono denominati in conformità con "1 – Guida alla progettazione e all'integrazione", o in alternativa discussi e approvati con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Tutti i componenti del bus sono stati completamente messi in servizio e testati funzionalmente.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 è stata informata del numero di punti dati da integrare.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Licenza per il numero di punti dati e il numero di gateway.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Topologia che mostra ogni gateway con le linee bus e gli indirizzi sottostanti.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foglio Excel con le informazioni necessarie oltre al contenuto del file ESF è stato creato e trasmesso a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file *.esf da ETS, ripulito dai parametri da non integrare, è stato trasmesso a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Riconciliato con il numero di punti indicato al momento dell'ordine della licenza.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Una panoramica dei IWMAC calendario di supervisionei desiderati e dei punti dati in cui devono scrivere è stata trasmessa a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Gli orari di funzionamento devono essere noti se Kiona deve inserirli.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