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1 – Przewodnik projektowania i integracji</w:t>
      </w:r>
    </w:p>
    <w:p>
      <w:pPr>
        <w:pStyle w:val="Rubrik2"/>
        <w:spacing w:before="200" w:after="100"/>
      </w:pPr>
      <w:r>
        <w:rPr>
          <w:rFonts w:ascii="Arial" w:hAnsi="Arial" w:cs="Arial"/>
          <w:sz w:val="26"/>
          <w:szCs w:val="26"/>
          <w:b/>
          <w:bCs/>
        </w:rPr>
        <w:t>1.1 – Cel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Niniejszy przewodnik został opracowany w celu zapewnienia najlepszego możliwego wyniku dostawy od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. Przewodnik zawiera informacje o niezbędnej dokumentacji dla dostawy automatyki. Dostawa obejmuje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system nadrzędny i powiązane usługi dodatkowe. Załączniki opisują wymagania dotyczące dokumentacji dla dostawy ze szczegółowymi informacjami dla określonych typów instalacji i protokołów.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Wszystkie przykłady i szablony są również dostępne na stronach internetowych naszych certyfikowanych partnerów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>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Jeśli nie możesz znaleźć szablonu, skontaktuj się z opiekunem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w dziale sprzedaży lub dostaw.</w:t>
      </w:r>
    </w:p>
    <w:p>
      <w:pPr>
        <w:spacing w:after="0"/>
      </w:pPr>
    </w:p>
    <w:p>
      <w:pPr>
        <w:pStyle w:val="Rubrik2"/>
        <w:spacing w:before="200" w:after="100"/>
      </w:pPr>
      <w:r>
        <w:rPr>
          <w:rFonts w:ascii="Arial" w:hAnsi="Arial" w:cs="Arial"/>
          <w:sz w:val="26"/>
          <w:szCs w:val="26"/>
          <w:b/>
          <w:bCs/>
        </w:rPr>
        <w:t>1.2 – Infrastruktura sieciowa/ICT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Po złożeniu zamówienia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wysyła serwer instalacyjny. Aby dostawa mogła się rozpocząć, należy nawiązać kontakt z wysłanym serwerem instalacyjnym z odpowiednim wyprzedzeniem przed planowanym uruchomieniem. Rozpocznij niezbędne przygotowania, aby sieć była gotowa na czas.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Ważne jest, aby klient wcześnie wyjaśnił z klientem końcowym, czy serwer instalacyjny ma komunikować się z chmurą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przez bezpośrednie połączenie internetowe czy VPN. Gdy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otrzyma informacje od klienta,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zamówi właściwą konfigurację u swojego dostawcy sieci.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Po rozpoczęciu dostawy otrzymasz standardowy formularz dla połączenia internetowego i VPN opisujący informacje potrzebne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oraz konfigurację, którą klient końcowy musi wykonać, aby serwer instalacyjny mógł przejść online.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nie będzie mogła rozpocząć pracy, dopóki formularze nie zostaną zwrócone i opisane ustawienia nie zostaną potwierdzone.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Serwer instalacyjny jest dostarczany z dwiema kartami sieciowymi.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musi mieć przypisane dwa połączenia sieciowe – to ważna informacja, którą klient musi uzyskać. Zaleca się, aby jeden interfejs był zarezerwowany do połączenia internetowego i oddzielony od sieci technicznej. Drugi interfejs jest podłączony do sieci technicznej.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Konwertery dostarczone przez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zostaną skonfigurowane w ramach dostawy po przekazaniu niezbędnych informacji. W przypadku konwerterów niedostarczonych przez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może pomóc w ich konfiguracji i instalacji na komputerze instalacyjnym. Ta usługa nie jest wliczona w dostawę i będzie traktowana jako opcja dodatkowa.</w:t>
      </w:r>
    </w:p>
    <w:p>
      <w:pPr>
        <w:spacing w:after="0"/>
      </w:pPr>
    </w:p>
    <w:p>
      <w:pPr>
        <w:pStyle w:val="Rubrik2"/>
        <w:spacing w:before="200" w:after="100"/>
      </w:pPr>
      <w:r>
        <w:rPr>
          <w:rFonts w:ascii="Arial" w:hAnsi="Arial" w:cs="Arial"/>
          <w:sz w:val="26"/>
          <w:szCs w:val="26"/>
          <w:b/>
          <w:bCs/>
        </w:rPr>
        <w:t>1.3 – Topologia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Aby nawiązać połączenie komunikacyjne ze wszystkimi urządzeniami automatyki,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potrzebuje kompletnej topologii zawierającej wszystkie niezbędne informacje sieciowe.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jest zależna od otrzymania wszystkich informacji o konwerterach szeregowo-sieciowych wraz z przeglądem urządzeń automatyki podłączonych do poszczególnych portów.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Patrz następujące przykłady: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Grafik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  <w:i/>
        </w:rPr>
        <w:t>IWMAC SZABLON 12 – Topologia.png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  <w:i/>
        </w:rPr>
        <w:t>IWMAC SZABLON 13 – Topologia (gliffy)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Excel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  <w:i/>
        </w:rPr>
        <w:t>IWMAC SZABLON 11 – Topologia IP i konwertery szeregowe.xltx</w:t>
      </w:r>
    </w:p>
    <w:p>
      <w:pPr>
        <w:spacing w:after="0"/>
      </w:pPr>
    </w:p>
    <w:p>
      <w:pPr>
        <w:pStyle w:val="ListParagraph"/>
      </w:pPr>
      <w:r>
        <w:t xml:space="preserve">Excel: Prosty szablon dla urządzeń IP, zaawansowany szablon – Kiona Szablon 10 / Kiona Szablon 11</w:t>
      </w:r>
    </w:p>
    <w:p>
      <w:pPr>
        <w:pStyle w:val="Rubrik2"/>
        <w:spacing w:before="200" w:after="100"/>
      </w:pPr>
      <w:r>
        <w:rPr>
          <w:rFonts w:ascii="Arial" w:hAnsi="Arial" w:cs="Arial"/>
          <w:sz w:val="26"/>
          <w:szCs w:val="26"/>
          <w:b/>
          <w:bCs/>
        </w:rPr>
        <w:t>1.4 – Listy parametrów, nazwy tagów i opisy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IWMAC</w:t>
      </w:r>
      <w:r>
        <w:rPr>
          <w:rFonts w:ascii="Arial" w:hAnsi="Arial" w:cs="Arial"/>
          <w:sz w:val="22"/>
          <w:szCs w:val="22"/>
        </w:rPr>
        <w:t xml:space="preserve"> używa nazw i opisów otrzymanych w dokumentacji pomocniczej od klienta. W niektórych przypadkach można je odczytać za pomocą skanerów bezpośrednio z urządzeń. Aby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mogła zapewnić użytkownikom końcowym czytelne i lokalizowalne nazwy tagów, listy danych muszą zawierać niezbędne informacje i strukturę umożliwiającą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prawidłowe budowanie baz danych tagów.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Oto kilka ogólnych wytycznych: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Kiona zakłada, że dla każdej linii parametru/tagu wpisany jest numer systemu i kod komponentu interdyscyplinarnego systemu oznakowania (TFM) oraz prosty opis parametru według komponentu fizycznego lub funkcji.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W przypadku sterowania pomieszczeniami musi być możliwe oddzielenie każdego pomieszczenia, piętra i w razie potrzeby budynku lub skrzydła.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Wszystkie podobne funkcje w każdym pomieszczeniu muszą mieć ten sam kod funkcji.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Dla wyższego poziomu komponentów centralnych i funkcji ograniczonych strefowo należy podać przypisanie strefy/grupy dla każdej linii parametru.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W przypadku list dotyczących urządzenia obsługującego tylko jeden numer systemu numer systemu można pominąć.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Standard kodu komponentu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jest używany na obrazach, chyba że uzgodniono inaczej lub kody komponentów nie znajdują się na liście tagów lub powiązanym schemacie systemu. Cała dokumentacja pomocnicza musi być spójna w kodowaniu znaków, aby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mogła identyfikować przypisania komponentów.</w:t>
      </w:r>
    </w:p>
    <w:p>
      <w:pPr>
        <w:spacing w:after="0"/>
      </w:pPr>
    </w:p>
    <w:p>
      <w:pPr>
        <w:pStyle w:val="Normal"/>
      </w:pPr>
      <w:r>
        <w:t xml:space="preserve">Dla obiektów BACnet, kodowanie TFM może często być zawarte w samej nazwie obiektu, podczas gdy opis jest dodawany w atrybucie “description”. Inne strukturyzacje są również możliwe, o ile tag zawiera wszystkie niezbędne informacje i strukturę opisaną wcześniej.</w:t>
      </w:r>
    </w:p>
    <w:p>
      <w:pPr>
        <w:pStyle w:val="Normal"/>
      </w:pPr>
      <w:r>
        <w:t xml:space="preserve">Na listach tagów Modbus, KNX, OPC, N2 i podobnych, zarówno kodowanie TFM, jak i opis mogą typowo być częścią jednego i tego samego tekstu. Ważne jest wtedy, aby struktura była taka sama dla wszystkich linii, z kodem system-komponent-funkcja w stałej kolejności – ze stałymi ogranicznikami na początku i opisem na końcu.</w:t>
      </w:r>
    </w:p>
    <w:p>
      <w:pPr>
        <w:pStyle w:val="ListParagraph"/>
      </w:pPr>
      <w:r>
        <w:t xml:space="preserve">R201_SQ501_spjv – Wyciąg VAV1 kąt przepustnicy</w:t>
      </w:r>
    </w:p>
    <w:p>
      <w:pPr>
        <w:pStyle w:val="ListParagraph"/>
      </w:pPr>
      <w:r>
        <w:t xml:space="preserve">R201_SQ402_lm – Nawiew VAV2 przepływ powietrza</w:t>
      </w:r>
    </w:p>
    <w:p>
      <w:pPr>
        <w:pStyle w:val="ListParagraph"/>
      </w:pPr>
      <w:r>
        <w:t xml:space="preserve">R201_SQ401_lm – Nawiew VAV1 przepływ powietrza</w:t>
      </w:r>
    </w:p>
    <w:p>
      <w:pPr>
        <w:pStyle w:val="ListParagraph"/>
      </w:pPr>
      <w:r>
        <w:t xml:space="preserve">R201_HVlv – Sygnał ogrzewania</w:t>
      </w:r>
    </w:p>
    <w:p>
      <w:pPr>
        <w:pStyle w:val="ListParagraph"/>
      </w:pPr>
      <w:r>
        <w:t xml:space="preserve">R201_BasSetp – Podstawowy punkt nastawy</w:t>
      </w:r>
    </w:p>
    <w:p>
      <w:pPr>
        <w:pStyle w:val="ListParagraph"/>
      </w:pPr>
      <w:r>
        <w:t xml:space="preserve">R201_Erverdi – Temperatura pomieszczenia</w:t>
      </w:r>
    </w:p>
    <w:p>
      <w:pPr>
        <w:pStyle w:val="Heading3"/>
      </w:pPr>
      <w:r>
        <w:t xml:space="preserve">Przykład dla pomieszczeń:</w:t>
      </w:r>
    </w:p>
    <w:p>
      <w:pPr>
        <w:pStyle w:val="ListParagraph"/>
      </w:pPr>
      <w:r>
        <w:t xml:space="preserve">360.001 RT401 Obliczony punkt nastawy  lub  nr_budynku_360001_RT401_ASP punkt nastawy rob.</w:t>
      </w:r>
    </w:p>
    <w:p>
      <w:pPr>
        <w:pStyle w:val="ListParagraph"/>
      </w:pPr>
      <w:r>
        <w:t xml:space="preserve">360.001 RT401 Temperatura nawiewu  lub  nr_budynku_360001_RT401_PV Temperatura nawiewu</w:t>
      </w:r>
    </w:p>
    <w:p>
      <w:pPr>
        <w:pStyle w:val="Heading3"/>
      </w:pPr>
      <w:r>
        <w:t xml:space="preserve">Przykład dla czujnika temperatury (wartość procesowa) i parametru dla obliczonego punktu nastawy:</w:t>
      </w:r>
    </w:p>
    <w:p>
      <w:pPr>
        <w:pStyle w:val="Normal"/>
      </w:pPr>
      <w:r>
        <w:t xml:space="preserve">Standard kodu komponentu Kiona będzie używany na obrazach, chyba że uzgodniono inaczej lub jeśli kody komponentów nie są na liście tagów ani w powiązanym schemacie systemu. Cała dokumentacja musi być spójna w kodowaniu znaków, aby Kiona mogła identyfikować przynależność komponentów.</w:t>
      </w:r>
    </w:p>
    <w:p>
      <w:pPr>
        <w:pStyle w:val="Rubrik2"/>
        <w:spacing w:before="200" w:after="100"/>
      </w:pPr>
      <w:r>
        <w:rPr>
          <w:rFonts w:ascii="Arial" w:hAnsi="Arial" w:cs="Arial"/>
          <w:sz w:val="26"/>
          <w:szCs w:val="26"/>
          <w:b/>
          <w:bCs/>
        </w:rPr>
        <w:t>1.5 – Listy parametrów, funkcjonalność alarmów i uprawnienia zapisu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musi bezpośrednio w bazie danych tagów określić, które elementy są czytelne i/lub zapisywalne. To samo dotyczy wskazania poziomu alarmu dla punktów przeznaczonych do generowania alarmu.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IWMAC</w:t>
      </w:r>
      <w:r>
        <w:rPr>
          <w:rFonts w:ascii="Arial" w:hAnsi="Arial" w:cs="Arial"/>
          <w:sz w:val="22"/>
          <w:szCs w:val="22"/>
        </w:rPr>
        <w:t xml:space="preserve"> zwykle wymaga tylko alarmów cyfrowych w bazie danych. Jeśli klient chce generować alarmy na wartościach multistate (liczby całkowite) lub zmiennoprzecinkowych, wymagane jest wyjaśnienie z kierownikiem dostawy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czy jest to możliwe i jakie konsekwencje może mieć.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Zobacz konkretny załącznik protokołu, aby uzyskać przegląd informacji potrzebnych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dotyczących tego, czy punkty mają być zapisywalne lub definiować punkty alarmowe, wraz z powiązanym poziomem alarmu.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9360"/>
      </w:tblGrid>
      <w:tr>
        <w:tc>
          <w:tcPr>
            <w:tcW w:w="936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Listy kontrolne IWMAC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2.1 – IWMAC Lista kontrolna – BACnet.docx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2.2 – IWMAC Lista kontrolna – Modbus.docx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2.3 – IWMAC Lista kontrolna – N2-Open.docx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2.4 – IWMAC Lista kontrolna – KNX.docx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2.5 – IWMAC Lista kontrolna – OPC.docx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3.1 – IWMAC Lista kontrolna – Wentylacja.docx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3.2 – IWMAC Lista kontrolna – Systemy ogrzewania i chłodzenia.docx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3.3 – IWMAC Lista kontrolna – Sterowanie pomieszczeniami.docx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3.4 – IWMAC Lista kontrolna – Techniczne i elektryczne.docx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3.5 – IWMAC Lista kontrolna – Raport energetyczny.docx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3.6 – IWMAC Lista kontrolna – EOS (System monitorowania energii).docx</w:t>
            </w:r>
          </w:p>
        </w:tc>
      </w:tr>
    </w:tbl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9360"/>
      </w:tblGrid>
      <w:tr>
        <w:tc>
          <w:tcPr>
            <w:tcW w:w="936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Szablony IWMAC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SZABLON 01 – Raport energetyczny.xltx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SZABLON 02 – Sygnały techniczne.xltx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SZABLON 03 – BACnet EDE.csv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SZABLON 04 – BACnet StateTexts.csv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SZABLON 05 – DX9100.xltx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SZABLON 06 – EOS.xltx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SZABLON 07 – FX15.xltx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SZABLON 08 – Modbus.xltx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SZABLON 09 – Lista pomieszczeń.xltx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SZABLON 10 – Prosta topologia, tylko IP.xltx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SZABLON 11 – Topologia IP i konwertery szeregowe.xltx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SZABLON 12 – Topologia.png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SZABLON 13 – Topologia (gliffy)</w:t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