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2.4 IWMAC Lista kontrolna – KNX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zintegrować KNX z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potrzebne są pewne informacje. Klient musi wyeksportować i przekazać niezbędne dane z ETS.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Przed zaprogramowaniem instalacji struktura adresów grupowych i nazewnictwo muszą zostać przesłane do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do przeglądu i zatwierdzenia.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KNX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Urządzenie:____________________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(Tak/Nie/-)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Struktura adresów grupowych została wyjaśniona i zatwierdzona przez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Struktura jest również dostosowana do efektywnego łączenia obrazów sterowania pomieszczeniami.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parametry są nazwane zgodnie z "1 – Przewodnik projektowania i integracji", lub alternatywnie omówione i zatwierdzone z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komponenty magistrali zostały w pełni uruchomione i przetestowane funkcjonalnie.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 została poinformowana o liczbie punktów danych do integracji.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Licencja na liczbę punktów danych i liczbę bramek.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Topologia pokazująca każdą bramkę z liniami magistrali i adresami.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Arkusz Excel z niezbędnymi informacjami poza zawartością pliku ESF został utworzony i przesłany do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Plik *.esf z ETS, oczyszczony z parametrów, które nie mają być integrowane, został przesłany do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Uzgodniony z liczbą punktów podaną przy zamówieniu licencji.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Przegląd żądanych IWMAC harmonogram systemu nadrzędnegoów i punktów danych, do których mają pisać, został przesłany do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Godziny pracy muszą być znane, jeśli Kiona ma je wprowadzić.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