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Lista kontrolna – Systemy ogrzewania i chłodzenia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zapewnić, że dostarczana przez nas wizualizacja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jest prawidłowa, musimy otrzymać odpowiednią i dokładną dokumentację.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projektuje obrazy zgodnie ze swoim standardem odzwierciedlającym strukturę systemu grzewczego zgodnie z diagramem PI. Standardowe oznakowanie IWMAC to interdyscyplinarny system oznakowania (TFM) z 3 cyframi.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Systemy ogrzewania i chłodzenia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Nr systemu:___________ Urządzenie:___________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Schemat systemu ze wszystkimi kodami komponentów został przesłany do Kiona z rozmieszczeniem komponentów "zgodnie z wykonaniem".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Kody ze schematu systemu można znaleźć na liście parametrów.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Opis funkcjonalny z wymaganymi informacjami został przesłany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Punkty listy kontrolnej dla protokołu komunikacyjnego zostały uwzględnione.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Ewentualne dodatkowe funkcje, takie jak prognoza pogody, monitor mocy, dystrybucja wartości mierzonych, funkcje alarmowe i podobne, są przedstawione w pisemnej dokumentacji.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Pamiętaj, aby zamówić inteligentne funkcje, jeśli to konieczne.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