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1 – Design og integrasjonsveileder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1.1 – Formål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Denne veilederen er utarbeidet for å sikre best mulig resultat i leveransen fra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. Veilederen gir informasjon om nødvendig underlag for automationsleveransen. Leveransen inkluderer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SD-anlegg og tilhørende tilleggstjenester. Vedleggene beskriver behovet for underlag i leveransen, med spesifikke detaljer for bestemte anleggstyper og protokoller.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Alle eksempler og maler er tilgjengelige på nettsidene til våre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-sertifiserte partnere.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Finner du ikke en mal, ta kontakt med din kontaktperson hos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på salg eller leveranse.</w:t>
      </w:r>
    </w:p>
    <w:p>
      <w:pPr>
        <w:spacing w:after="0"/>
      </w:pP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1.2 – Nettverk/IKT-infrastruktur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Når leveransen er bestilt, sendes en installasjonsserver fra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. For at leveransen skal kunne starte, må det etableres kontakt med den utsendts installasjonsserveren i god tid før planlagt oppstart. Start forberedelsene slik at nettverket er klart i tide.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Det er viktig at kunden tidlig avklarer med sluttkunden om installasjonsserveren skal kommunisere med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-skyen via direkte internettforbindelse eller VPN. Når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har mottatt informasjonen fra kunden, bestiller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riktig oppsett fra sin nettverksleverandør.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Når leveransen starter, mottar du et standardskjema for internett- og VPN-tilkobling som beskriver hvilken informasjon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trenger, samt konfigurasjonen sluttkunden må utføre for at installasjonsserveren skal komme online.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ikke starte arbeidet før skjemaene er returnert og de beskrevne innstillingene er bekreftet.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En installasjonsserver leveres med to nettverkskort.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må tildeles to nettverkstilkoblinger – dette er viktig informasjon kunden må skaffe. Det anbefales at ett grensesnitt reserveres for internettilkobling og holdes separat fra det tekniske nettverket. Det andre grensesnittet kobles til det tekniske nettverket.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Konvertere levert av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konfigureres som en del av leveransen etter at nødvendig informasjon er overlevert. For konvertere ikke levert av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bistå med konfigurering og installasjon på installasjons-PC-en. Denne tjenesten er ikke inkludert i leveransen og vil bli håndtert som et tilleggsvalg.</w:t>
      </w:r>
    </w:p>
    <w:p>
      <w:pPr>
        <w:spacing w:after="0"/>
      </w:pP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1.3 – Topologi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å etablere kommunikasjonsforbindelse med alle automatiseringsenheter trenger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en komplett topologi som lister all nødvendig nettverksinformasjon.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er avhengig av å motta all informasjon om serie-til-nettverk-konvertere, med tilhørende oversikt over hvilke automatiseringsenheter som er tilkoblet de ulike portene.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Se følgende eksempler: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Grafik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 12 – Topologi.png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 13 – Topologi (gliffy)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Excel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 11 – Topologi IP og seriekonvertere.xltx</w:t>
      </w:r>
    </w:p>
    <w:p>
      <w:pPr>
        <w:spacing w:after="0"/>
      </w:pPr>
    </w:p>
    <w:p>
      <w:pPr>
        <w:pStyle w:val="ListParagraph"/>
      </w:pPr>
      <w:r>
        <w:t xml:space="preserve">Excel: Enkel mal for enheter på IP, avansert mal for begge – Kiona Mal 10 / Kiona Mal 11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1.4 – Parameterlister, tagnavn og beskrivelser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 bruker navn og beskrivelser fra underlaget/dokumentasjonen mottatt fra kunden. I noen tilfeller kan dette leses av skannere direkte fra utstyret. 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gi sluttbrukere lesbare og lokaliserbare tagnavn, må datalistene inneholde nødvendig informasjon og en struktur som gjør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bygge opp tagdatabasene korrekt.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Her er noen generelle retningslinjer: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Kiona forutsetter at systemnummer og tverrfaglig merkesystem (TFM) komponentkode er angitt for hver parameter-/tagglinje, samt en enkel parameterbeskrivelse, enten per fysisk komponent eller per funksjon.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For romkontroll må det være mulig å skille hvert rom, etasje og om nødvendig bygning eller fløy.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Alle liknende funksjoner i hvert rom må gis samme funksjonskode.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For overordnede sentralkomponenter og soneavgrensede funksjoner må sone-/gruppetilordning angis for hver parameterlinje.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For lister som omhandler en enhet som kun betjener ett systemnummer, kan systemnummeret utelates.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-komponentkodestandarden brukes i bilder med mindre annet er avtalt, eller hvis komponentkoder ikke finnes i tagglisten eller tilhørende systemtegning. Alt underlag må være konsistent i tegnkoding slik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identifisere komponenttilordningene.</w:t>
      </w:r>
    </w:p>
    <w:p>
      <w:pPr>
        <w:spacing w:after="0"/>
      </w:pPr>
    </w:p>
    <w:p>
      <w:pPr>
        <w:pStyle w:val="Normal"/>
      </w:pPr>
      <w:r>
        <w:t xml:space="preserve">For BACnet-objekter kan TFM-koding gjerne ligge i selve objekt-navnet, mens beskrivelsen legges i «description» attributtet. Annen strukturering er også mulig så lenge tagen inneholder all nødvendig informasjon og struktur, som tidligere beskrevet.</w:t>
      </w:r>
    </w:p>
    <w:p>
      <w:pPr>
        <w:pStyle w:val="Normal"/>
      </w:pPr>
      <w:r>
        <w:t xml:space="preserve">I Modbus, KNX, OPC, N2 og tilsvarende tag-lister vil typisk både TFM-koding og beskrivelse kunne være del av en og samme tekst, det er da viktig at strukturen er lik for alle linjer med system-komponent-funksjonskode i fast rekkefølge først med faste skilletegn samt beskrivelse til slutt.</w:t>
      </w:r>
    </w:p>
    <w:p>
      <w:pPr>
        <w:pStyle w:val="ListParagraph"/>
      </w:pPr>
      <w:r>
        <w:t xml:space="preserve">R201_SQ501_spjv – Avtrekk VAV1 spjeldvinkel</w:t>
      </w:r>
    </w:p>
    <w:p>
      <w:pPr>
        <w:pStyle w:val="ListParagraph"/>
      </w:pPr>
      <w:r>
        <w:t xml:space="preserve">R201_SQ402_lm – Tilluft VAV2 luftmengde</w:t>
      </w:r>
    </w:p>
    <w:p>
      <w:pPr>
        <w:pStyle w:val="ListParagraph"/>
      </w:pPr>
      <w:r>
        <w:t xml:space="preserve">R201_SQ401_lm – Tilluft VAV1 luftmengde</w:t>
      </w:r>
    </w:p>
    <w:p>
      <w:pPr>
        <w:pStyle w:val="ListParagraph"/>
      </w:pPr>
      <w:r>
        <w:t xml:space="preserve">R201_HVlv – Pådrag varme</w:t>
      </w:r>
    </w:p>
    <w:p>
      <w:pPr>
        <w:pStyle w:val="ListParagraph"/>
      </w:pPr>
      <w:r>
        <w:t xml:space="preserve">R201_BasSetp – Grunnsettpunkt</w:t>
      </w:r>
    </w:p>
    <w:p>
      <w:pPr>
        <w:pStyle w:val="ListParagraph"/>
      </w:pPr>
      <w:r>
        <w:t xml:space="preserve">R201_Erverdi – Romtemperatur</w:t>
      </w:r>
    </w:p>
    <w:p>
      <w:pPr>
        <w:pStyle w:val="Heading3"/>
      </w:pPr>
      <w:r>
        <w:t xml:space="preserve">Eksempel for rom:</w:t>
      </w:r>
    </w:p>
    <w:p>
      <w:pPr>
        <w:pStyle w:val="ListParagraph"/>
      </w:pPr>
      <w:r>
        <w:t xml:space="preserve">360.001 RT401 Kalkulert settpunkt  eller  byggnr_360001_RT401_ASP arb. settpunkt</w:t>
      </w:r>
    </w:p>
    <w:p>
      <w:pPr>
        <w:pStyle w:val="ListParagraph"/>
      </w:pPr>
      <w:r>
        <w:t xml:space="preserve">360.001 RT401 Tilluftstemperatur  eller  byggnr_360001_RT401_PV Tilluftstemperatur</w:t>
      </w:r>
    </w:p>
    <w:p>
      <w:pPr>
        <w:pStyle w:val="Heading3"/>
      </w:pPr>
      <w:r>
        <w:t xml:space="preserve">Eksempel for temperaturføler (prosessverdi) og parameter for kalkulert settpunkt:</w:t>
      </w:r>
    </w:p>
    <w:p>
      <w:pPr>
        <w:pStyle w:val="Normal"/>
      </w:pPr>
      <w:r>
        <w:t xml:space="preserve">Kiona komponentkodestandard vil benyttes i bilder om ikke annet er avtalt, eller dersom komponentkoder ikke finnes i tag-liste eller tilhørende systemskjema. Alt underlag må være samstemt i tegnkoding for at Kiona skal kunne identifisere komponentenes tilhørighet.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1.5 – Parameterlister, alarmfunksjonalitet og skrivetilgang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må direkte i tagdatabasen spesifisere hvilke punkter som er lesbare og/eller skrivbare. Det samme gjelder alarmnivåindikasjon for punkter som er ment å generere alarm.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 krever normalt kun digitale alarmer i databasen. Ønsker kunden å generere alarmer på multistate (heltall) eller flyttallsverdier, må dette avklares med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s leveranseansvarlig om dette er mulig og hvilke konsekvenser det kan ha.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Se det spesifikke protokollvedlegget for en oversikt over informasjonen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trenger angående om punkter skal være skrivbare eller definere alarmpunkter, samt tilhørende alarmnivå.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9360"/>
      </w:tblGrid>
      <w:tr>
        <w:tc>
          <w:tcPr>
            <w:tcW w:w="93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IWMAC-sjekklister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2.1 – IWMAC Sjekkliste – BACnet.docx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2.2 – IWMAC Sjekkliste – Modbus.docx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2.3 – IWMAC Sjekkliste – N2-Open.docx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2.4 – IWMAC Sjekkliste – KNX.docx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2.5 – IWMAC Sjekkliste – OPC.docx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3.1 – IWMAC Sjekkliste – Ventilasjon.docx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3.2 – IWMAC Sjekkliste – Varme- og kjøleanlegg.docx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3.3 – IWMAC Sjekkliste – Romkontroll.docx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3.4 – IWMAC Sjekkliste – Teknisk og elektrisk.docx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3.5 – IWMAC Sjekkliste – Energirapport.docx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3.6 – IWMAC Sjekkliste – EOS (Energioppfølgingssystem).docx</w:t>
            </w:r>
          </w:p>
        </w:tc>
      </w:tr>
    </w:tbl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9360"/>
      </w:tblGrid>
      <w:tr>
        <w:tc>
          <w:tcPr>
            <w:tcW w:w="93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IWMAC-maler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01 – Energirapport.xltx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02 – Tekniske signaler.xltx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03 – BACnet EDE.csv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04 – BACnet StateTexts.csv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05 – DX9100.xltx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06 – EOS.xltx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07 – FX15.xltx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08 – Modbus.xltx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09 – Romliste.xltx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10 – Enkel topologi, kun IP.xltx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11 – Topologi IP og seriekonvertere.xltx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12 – Topologi.png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MAL 13 – Topologi (gliffy)</w:t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