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1 – Guide de conception et d'intégration</w:t>
      </w:r>
    </w:p>
    <w:p>
      <w:pPr>
        <w:pStyle w:val="Rubrik2"/>
        <w:spacing w:before="200" w:after="100"/>
      </w:pPr>
      <w:r>
        <w:rPr>
          <w:rFonts w:ascii="Arial" w:hAnsi="Arial" w:cs="Arial"/>
          <w:sz w:val="26"/>
          <w:szCs w:val="26"/>
          <w:b/>
          <w:bCs/>
        </w:rPr>
        <w:t>1.1 – Objectif</w:t>
      </w:r>
    </w:p>
    <w:p>
      <w:pPr>
        <w:spacing w:before="0" w:after="120"/>
      </w:pPr>
      <w:r>
        <w:rPr>
          <w:rFonts w:ascii="Arial" w:hAnsi="Arial" w:cs="Arial"/>
          <w:sz w:val="22"/>
          <w:szCs w:val="22"/>
        </w:rPr>
        <w:t xml:space="preserve">Ce guide a été élaboré pour garantir le meilleur résultat possible lors de la livraison de </w:t>
      </w:r>
      <w:r>
        <w:rPr>
          <w:rFonts w:ascii="Arial" w:hAnsi="Arial" w:cs="Arial"/>
          <w:sz w:val="22"/>
          <w:szCs w:val="22"/>
          <w:b/>
          <w:bCs/>
        </w:rPr>
        <w:t>Kiona</w:t>
      </w:r>
      <w:r>
        <w:rPr>
          <w:rFonts w:ascii="Arial" w:hAnsi="Arial" w:cs="Arial"/>
          <w:sz w:val="22"/>
          <w:szCs w:val="22"/>
        </w:rPr>
        <w:t xml:space="preserve">. Il fournit des informations sur les pièces justificatives nécessaires à la livraison de l'automatisation. La livraison comprend le </w:t>
      </w:r>
      <w:r>
        <w:rPr>
          <w:rFonts w:ascii="Arial" w:hAnsi="Arial" w:cs="Arial"/>
          <w:sz w:val="22"/>
          <w:szCs w:val="22"/>
          <w:b/>
          <w:bCs/>
        </w:rPr>
        <w:t>IWMAC</w:t>
      </w:r>
      <w:r>
        <w:rPr>
          <w:rFonts w:ascii="Arial" w:hAnsi="Arial" w:cs="Arial"/>
          <w:sz w:val="22"/>
          <w:szCs w:val="22"/>
        </w:rPr>
        <w:t xml:space="preserve"> système de supervision et les services complémentaires associés. Les annexes décrivent les pièces justificatives requises pour la livraison avec des détails spécifiques pour certains types d'installation et protocoles.</w:t>
      </w:r>
    </w:p>
    <w:p>
      <w:pPr>
        <w:spacing w:before="0" w:after="120"/>
      </w:pPr>
      <w:r>
        <w:rPr>
          <w:rFonts w:ascii="Arial" w:hAnsi="Arial" w:cs="Arial"/>
          <w:sz w:val="22"/>
          <w:szCs w:val="22"/>
        </w:rPr>
        <w:t xml:space="preserve">Tous les exemples et modèles sont également disponibles sur les sites Web de nos partenaires certifiés </w:t>
      </w:r>
      <w:r>
        <w:rPr>
          <w:rFonts w:ascii="Arial" w:hAnsi="Arial" w:cs="Arial"/>
          <w:sz w:val="22"/>
          <w:szCs w:val="22"/>
          <w:b/>
          <w:bCs/>
        </w:rPr>
        <w:t>Kiona</w:t>
      </w:r>
      <w:r>
        <w:rPr>
          <w:rFonts w:ascii="Arial" w:hAnsi="Arial" w:cs="Arial"/>
          <w:sz w:val="22"/>
          <w:szCs w:val="22"/>
        </w:rPr>
        <w:t>.</w:t>
      </w:r>
    </w:p>
    <w:p>
      <w:pPr>
        <w:spacing w:before="0" w:after="120"/>
      </w:pPr>
      <w:r>
        <w:rPr>
          <w:rFonts w:ascii="Arial" w:hAnsi="Arial" w:cs="Arial"/>
          <w:sz w:val="22"/>
          <w:szCs w:val="22"/>
        </w:rPr>
        <w:t xml:space="preserve">Si vous ne trouvez pas un modèle, veuillez contacter votre interlocuteur </w:t>
      </w:r>
      <w:r>
        <w:rPr>
          <w:rFonts w:ascii="Arial" w:hAnsi="Arial" w:cs="Arial"/>
          <w:sz w:val="22"/>
          <w:szCs w:val="22"/>
          <w:b/>
          <w:bCs/>
        </w:rPr>
        <w:t>Kiona</w:t>
      </w:r>
      <w:r>
        <w:rPr>
          <w:rFonts w:ascii="Arial" w:hAnsi="Arial" w:cs="Arial"/>
          <w:sz w:val="22"/>
          <w:szCs w:val="22"/>
        </w:rPr>
        <w:t xml:space="preserve"> aux ventes ou à la livraison.</w:t>
      </w:r>
    </w:p>
    <w:p>
      <w:pPr>
        <w:spacing w:after="0"/>
      </w:pPr>
    </w:p>
    <w:p>
      <w:pPr>
        <w:pStyle w:val="Rubrik2"/>
        <w:spacing w:before="200" w:after="100"/>
      </w:pPr>
      <w:r>
        <w:rPr>
          <w:rFonts w:ascii="Arial" w:hAnsi="Arial" w:cs="Arial"/>
          <w:sz w:val="26"/>
          <w:szCs w:val="26"/>
          <w:b/>
          <w:bCs/>
        </w:rPr>
        <w:t>1.2 – Infrastructure réseau/TIC</w:t>
      </w:r>
    </w:p>
    <w:p>
      <w:pPr>
        <w:spacing w:before="0" w:after="120"/>
      </w:pPr>
      <w:r>
        <w:rPr>
          <w:rFonts w:ascii="Arial" w:hAnsi="Arial" w:cs="Arial"/>
          <w:sz w:val="22"/>
          <w:szCs w:val="22"/>
        </w:rPr>
        <w:t xml:space="preserve">Une fois la commande passée, un serveur d'installation est envoyé par </w:t>
      </w:r>
      <w:r>
        <w:rPr>
          <w:rFonts w:ascii="Arial" w:hAnsi="Arial" w:cs="Arial"/>
          <w:sz w:val="22"/>
          <w:szCs w:val="22"/>
          <w:b/>
          <w:bCs/>
        </w:rPr>
        <w:t>Kiona</w:t>
      </w:r>
      <w:r>
        <w:rPr>
          <w:rFonts w:ascii="Arial" w:hAnsi="Arial" w:cs="Arial"/>
          <w:sz w:val="22"/>
          <w:szCs w:val="22"/>
        </w:rPr>
        <w:t>. Pour que la livraison puisse commencer, il faut établir le contact avec le serveur d'installation bien avant la mise en service prévue. Commencez les préparations nécessaires pour que le réseau soit prêt à temps.</w:t>
      </w:r>
    </w:p>
    <w:p>
      <w:pPr>
        <w:spacing w:before="0" w:after="120"/>
      </w:pPr>
      <w:r>
        <w:rPr>
          <w:rFonts w:ascii="Arial" w:hAnsi="Arial" w:cs="Arial"/>
          <w:sz w:val="22"/>
          <w:szCs w:val="22"/>
        </w:rPr>
        <w:t xml:space="preserve">Il est important que le client clarifie tôt avec le client final si le serveur d'installation doit communiquer avec le cloud </w:t>
      </w:r>
      <w:r>
        <w:rPr>
          <w:rFonts w:ascii="Arial" w:hAnsi="Arial" w:cs="Arial"/>
          <w:sz w:val="22"/>
          <w:szCs w:val="22"/>
          <w:b/>
          <w:bCs/>
        </w:rPr>
        <w:t>Kiona</w:t>
      </w:r>
      <w:r>
        <w:rPr>
          <w:rFonts w:ascii="Arial" w:hAnsi="Arial" w:cs="Arial"/>
          <w:sz w:val="22"/>
          <w:szCs w:val="22"/>
        </w:rPr>
        <w:t xml:space="preserve"> via une connexion internet directe ou VPN. Une fois que </w:t>
      </w:r>
      <w:r>
        <w:rPr>
          <w:rFonts w:ascii="Arial" w:hAnsi="Arial" w:cs="Arial"/>
          <w:sz w:val="22"/>
          <w:szCs w:val="22"/>
          <w:b/>
          <w:bCs/>
        </w:rPr>
        <w:t>Kiona</w:t>
      </w:r>
      <w:r>
        <w:rPr>
          <w:rFonts w:ascii="Arial" w:hAnsi="Arial" w:cs="Arial"/>
          <w:sz w:val="22"/>
          <w:szCs w:val="22"/>
        </w:rPr>
        <w:t xml:space="preserve"> a reçu les informations du client, </w:t>
      </w:r>
      <w:r>
        <w:rPr>
          <w:rFonts w:ascii="Arial" w:hAnsi="Arial" w:cs="Arial"/>
          <w:sz w:val="22"/>
          <w:szCs w:val="22"/>
          <w:b/>
          <w:bCs/>
        </w:rPr>
        <w:t>Kiona</w:t>
      </w:r>
      <w:r>
        <w:rPr>
          <w:rFonts w:ascii="Arial" w:hAnsi="Arial" w:cs="Arial"/>
          <w:sz w:val="22"/>
          <w:szCs w:val="22"/>
        </w:rPr>
        <w:t xml:space="preserve"> commande la configuration correcte auprès de son fournisseur réseau.</w:t>
      </w:r>
    </w:p>
    <w:p>
      <w:pPr>
        <w:spacing w:before="0" w:after="120"/>
      </w:pPr>
      <w:r>
        <w:rPr>
          <w:rFonts w:ascii="Arial" w:hAnsi="Arial" w:cs="Arial"/>
          <w:sz w:val="22"/>
          <w:szCs w:val="22"/>
        </w:rPr>
        <w:t xml:space="preserve">Au début de la livraison, vous recevrez un formulaire standard pour la connexion internet et VPN décrivant les informations dont </w:t>
      </w:r>
      <w:r>
        <w:rPr>
          <w:rFonts w:ascii="Arial" w:hAnsi="Arial" w:cs="Arial"/>
          <w:sz w:val="22"/>
          <w:szCs w:val="22"/>
          <w:b/>
          <w:bCs/>
        </w:rPr>
        <w:t>Kiona</w:t>
      </w:r>
      <w:r>
        <w:rPr>
          <w:rFonts w:ascii="Arial" w:hAnsi="Arial" w:cs="Arial"/>
          <w:sz w:val="22"/>
          <w:szCs w:val="22"/>
        </w:rPr>
        <w:t xml:space="preserve"> a besoin, ainsi que la configuration que le client final doit effectuer pour que le serveur d'installation se connecte. </w:t>
      </w:r>
      <w:r>
        <w:rPr>
          <w:rFonts w:ascii="Arial" w:hAnsi="Arial" w:cs="Arial"/>
          <w:sz w:val="22"/>
          <w:szCs w:val="22"/>
          <w:b/>
          <w:bCs/>
        </w:rPr>
        <w:t>Kiona</w:t>
      </w:r>
      <w:r>
        <w:rPr>
          <w:rFonts w:ascii="Arial" w:hAnsi="Arial" w:cs="Arial"/>
          <w:sz w:val="22"/>
          <w:szCs w:val="22"/>
        </w:rPr>
        <w:t xml:space="preserve"> ne pourra pas commencer le travail tant que les formulaires n'auront pas été retournés et que les paramètres décrits n'auront pas été vérifiés.</w:t>
      </w:r>
    </w:p>
    <w:p>
      <w:pPr>
        <w:spacing w:before="0" w:after="120"/>
      </w:pPr>
      <w:r>
        <w:rPr>
          <w:rFonts w:ascii="Arial" w:hAnsi="Arial" w:cs="Arial"/>
          <w:sz w:val="22"/>
          <w:szCs w:val="22"/>
        </w:rPr>
        <w:t xml:space="preserve">Un serveur d'installation est livré avec deux cartes réseau. </w:t>
      </w:r>
      <w:r>
        <w:rPr>
          <w:rFonts w:ascii="Arial" w:hAnsi="Arial" w:cs="Arial"/>
          <w:sz w:val="22"/>
          <w:szCs w:val="22"/>
          <w:b/>
          <w:bCs/>
        </w:rPr>
        <w:t>Kiona</w:t>
      </w:r>
      <w:r>
        <w:rPr>
          <w:rFonts w:ascii="Arial" w:hAnsi="Arial" w:cs="Arial"/>
          <w:sz w:val="22"/>
          <w:szCs w:val="22"/>
        </w:rPr>
        <w:t xml:space="preserve"> doit disposer de deux connexions réseau – il s'agit d'une information importante que le client doit obtenir. Il est recommandé qu'une interface soit réservée à la connexion internet et maintenue séparée du réseau technique. La deuxième interface est connectée au réseau technique.</w:t>
      </w:r>
    </w:p>
    <w:p>
      <w:pPr>
        <w:spacing w:before="0" w:after="120"/>
      </w:pPr>
      <w:r>
        <w:rPr>
          <w:rFonts w:ascii="Arial" w:hAnsi="Arial" w:cs="Arial"/>
          <w:sz w:val="22"/>
          <w:szCs w:val="22"/>
        </w:rPr>
        <w:t xml:space="preserve">Les convertisseurs fournis par </w:t>
      </w:r>
      <w:r>
        <w:rPr>
          <w:rFonts w:ascii="Arial" w:hAnsi="Arial" w:cs="Arial"/>
          <w:sz w:val="22"/>
          <w:szCs w:val="22"/>
          <w:b/>
          <w:bCs/>
        </w:rPr>
        <w:t>Kiona</w:t>
      </w:r>
      <w:r>
        <w:rPr>
          <w:rFonts w:ascii="Arial" w:hAnsi="Arial" w:cs="Arial"/>
          <w:sz w:val="22"/>
          <w:szCs w:val="22"/>
        </w:rPr>
        <w:t xml:space="preserve"> seront configurés dans le cadre de la livraison une fois les informations nécessaires transmises. Pour les convertisseurs non fournis par </w:t>
      </w:r>
      <w:r>
        <w:rPr>
          <w:rFonts w:ascii="Arial" w:hAnsi="Arial" w:cs="Arial"/>
          <w:sz w:val="22"/>
          <w:szCs w:val="22"/>
          <w:b/>
          <w:bCs/>
        </w:rPr>
        <w:t>Kiona</w:t>
      </w:r>
      <w:r>
        <w:rPr>
          <w:rFonts w:ascii="Arial" w:hAnsi="Arial" w:cs="Arial"/>
          <w:sz w:val="22"/>
          <w:szCs w:val="22"/>
        </w:rPr>
        <w:t xml:space="preserve">, </w:t>
      </w:r>
      <w:r>
        <w:rPr>
          <w:rFonts w:ascii="Arial" w:hAnsi="Arial" w:cs="Arial"/>
          <w:sz w:val="22"/>
          <w:szCs w:val="22"/>
          <w:b/>
          <w:bCs/>
        </w:rPr>
        <w:t>Kiona</w:t>
      </w:r>
      <w:r>
        <w:rPr>
          <w:rFonts w:ascii="Arial" w:hAnsi="Arial" w:cs="Arial"/>
          <w:sz w:val="22"/>
          <w:szCs w:val="22"/>
        </w:rPr>
        <w:t xml:space="preserve"> peut aider à les configurer et les installer sur le PC d'installation. Ce service n'est pas inclus dans la livraison et sera traité comme option supplémentaire.</w:t>
      </w:r>
    </w:p>
    <w:p>
      <w:pPr>
        <w:spacing w:after="0"/>
      </w:pPr>
    </w:p>
    <w:p>
      <w:pPr>
        <w:pStyle w:val="Rubrik2"/>
        <w:spacing w:before="200" w:after="100"/>
      </w:pPr>
      <w:r>
        <w:rPr>
          <w:rFonts w:ascii="Arial" w:hAnsi="Arial" w:cs="Arial"/>
          <w:sz w:val="26"/>
          <w:szCs w:val="26"/>
          <w:b/>
          <w:bCs/>
        </w:rPr>
        <w:t>1.3 – Topologie</w:t>
      </w:r>
    </w:p>
    <w:p>
      <w:pPr>
        <w:spacing w:before="0" w:after="120"/>
      </w:pPr>
      <w:r>
        <w:rPr>
          <w:rFonts w:ascii="Arial" w:hAnsi="Arial" w:cs="Arial"/>
          <w:sz w:val="22"/>
          <w:szCs w:val="22"/>
        </w:rPr>
        <w:t xml:space="preserve">Pour établir une connexion de communication avec tous les appareils d'automatisation, </w:t>
      </w:r>
      <w:r>
        <w:rPr>
          <w:rFonts w:ascii="Arial" w:hAnsi="Arial" w:cs="Arial"/>
          <w:sz w:val="22"/>
          <w:szCs w:val="22"/>
          <w:b/>
          <w:bCs/>
        </w:rPr>
        <w:t>Kiona</w:t>
      </w:r>
      <w:r>
        <w:rPr>
          <w:rFonts w:ascii="Arial" w:hAnsi="Arial" w:cs="Arial"/>
          <w:sz w:val="22"/>
          <w:szCs w:val="22"/>
        </w:rPr>
        <w:t xml:space="preserve"> a besoin d'une topologie complète répertoriant toutes les informations réseau nécessaires. </w:t>
      </w:r>
      <w:r>
        <w:rPr>
          <w:rFonts w:ascii="Arial" w:hAnsi="Arial" w:cs="Arial"/>
          <w:sz w:val="22"/>
          <w:szCs w:val="22"/>
          <w:b/>
          <w:bCs/>
        </w:rPr>
        <w:t>Kiona</w:t>
      </w:r>
      <w:r>
        <w:rPr>
          <w:rFonts w:ascii="Arial" w:hAnsi="Arial" w:cs="Arial"/>
          <w:sz w:val="22"/>
          <w:szCs w:val="22"/>
        </w:rPr>
        <w:t xml:space="preserve"> dépend de la réception de toutes les informations sur les convertisseurs série-réseau, avec une vue d'ensemble des appareils d'automatisation connectés aux différents ports.</w:t>
      </w:r>
    </w:p>
    <w:p>
      <w:pPr>
        <w:spacing w:before="0" w:after="120"/>
      </w:pPr>
      <w:r>
        <w:rPr>
          <w:rFonts w:ascii="Arial" w:hAnsi="Arial" w:cs="Arial"/>
          <w:sz w:val="22"/>
          <w:szCs w:val="22"/>
        </w:rPr>
        <w:t>Voir les exemples suivants :</w:t>
      </w:r>
    </w:p>
    <w:p>
      <w:pPr>
        <w:pStyle w:val="Liststycke"/>
        <w:numPr>
          <w:ilvl w:val="0"/>
          <w:numId w:val="1"/>
        </w:numPr>
        <w:spacing w:after="80"/>
      </w:pPr>
      <w:r>
        <w:rPr>
          <w:rFonts w:ascii="Arial" w:hAnsi="Arial" w:cs="Arial"/>
          <w:sz w:val="22"/>
          <w:szCs w:val="22"/>
        </w:rPr>
        <w:t>Grafik</w:t>
      </w:r>
    </w:p>
    <w:p>
      <w:pPr>
        <w:pStyle w:val="Liststycke"/>
        <w:numPr>
          <w:ilvl w:val="0"/>
          <w:numId w:val="1"/>
        </w:numPr>
        <w:spacing w:after="80"/>
      </w:pPr>
      <w:r>
        <w:rPr>
          <w:rFonts w:ascii="Arial" w:hAnsi="Arial" w:cs="Arial"/>
          <w:sz w:val="22"/>
          <w:szCs w:val="22"/>
          <w:i/>
        </w:rPr>
        <w:t>IWMAC MODÈLE 12 – Topologie.png</w:t>
      </w:r>
    </w:p>
    <w:p>
      <w:pPr>
        <w:pStyle w:val="Liststycke"/>
        <w:numPr>
          <w:ilvl w:val="0"/>
          <w:numId w:val="1"/>
        </w:numPr>
        <w:spacing w:after="80"/>
      </w:pPr>
      <w:r>
        <w:rPr>
          <w:rFonts w:ascii="Arial" w:hAnsi="Arial" w:cs="Arial"/>
          <w:sz w:val="22"/>
          <w:szCs w:val="22"/>
          <w:i/>
        </w:rPr>
        <w:t>IWMAC MODÈLE 13 – Topologie (gliffy)</w:t>
      </w:r>
    </w:p>
    <w:p>
      <w:pPr>
        <w:pStyle w:val="Liststycke"/>
        <w:numPr>
          <w:ilvl w:val="0"/>
          <w:numId w:val="1"/>
        </w:numPr>
        <w:spacing w:after="80"/>
      </w:pPr>
      <w:r>
        <w:rPr>
          <w:rFonts w:ascii="Arial" w:hAnsi="Arial" w:cs="Arial"/>
          <w:sz w:val="22"/>
          <w:szCs w:val="22"/>
        </w:rPr>
        <w:t>Excel</w:t>
      </w:r>
    </w:p>
    <w:p>
      <w:pPr>
        <w:pStyle w:val="Liststycke"/>
        <w:numPr>
          <w:ilvl w:val="0"/>
          <w:numId w:val="1"/>
        </w:numPr>
        <w:spacing w:after="80"/>
      </w:pPr>
      <w:r>
        <w:rPr>
          <w:rFonts w:ascii="Arial" w:hAnsi="Arial" w:cs="Arial"/>
          <w:sz w:val="22"/>
          <w:szCs w:val="22"/>
          <w:i/>
        </w:rPr>
        <w:t>IWMAC MODÈLE 11 – Topologie IP et convertisseurs série.xltx</w:t>
      </w:r>
    </w:p>
    <w:p>
      <w:pPr>
        <w:spacing w:after="0"/>
      </w:pPr>
    </w:p>
    <w:p>
      <w:pPr>
        <w:pStyle w:val="ListParagraph"/>
      </w:pPr>
      <w:r>
        <w:t xml:space="preserve">Excel : Modèle simple pour équipements sur IP, modèle avancé – Kiona Modèle 10 / Kiona Modèle 11</w:t>
      </w:r>
    </w:p>
    <w:p>
      <w:pPr>
        <w:pStyle w:val="Rubrik2"/>
        <w:spacing w:before="200" w:after="100"/>
      </w:pPr>
      <w:r>
        <w:rPr>
          <w:rFonts w:ascii="Arial" w:hAnsi="Arial" w:cs="Arial"/>
          <w:sz w:val="26"/>
          <w:szCs w:val="26"/>
          <w:b/>
          <w:bCs/>
        </w:rPr>
        <w:t>1.4 – Listes de paramètres, noms de tags et descriptions</w:t>
      </w:r>
    </w:p>
    <w:p>
      <w:pPr>
        <w:spacing w:before="0" w:after="120"/>
      </w:pPr>
      <w:r>
        <w:rPr>
          <w:rFonts w:ascii="Arial" w:hAnsi="Arial" w:cs="Arial"/>
          <w:sz w:val="22"/>
          <w:szCs w:val="22"/>
        </w:rPr>
        <w:t>IWMAC</w:t>
      </w:r>
      <w:r>
        <w:rPr>
          <w:rFonts w:ascii="Arial" w:hAnsi="Arial" w:cs="Arial"/>
          <w:sz w:val="22"/>
          <w:szCs w:val="22"/>
        </w:rPr>
        <w:t xml:space="preserve"> utilise des noms et des descriptions reçus dans les pièces justificatives/la documentation du client. Dans certains cas, ceux-ci peuvent être lus par des scanners directement depuis l'équipement. Pour que </w:t>
      </w:r>
      <w:r>
        <w:rPr>
          <w:rFonts w:ascii="Arial" w:hAnsi="Arial" w:cs="Arial"/>
          <w:sz w:val="22"/>
          <w:szCs w:val="22"/>
          <w:b/>
          <w:bCs/>
        </w:rPr>
        <w:t>Kiona</w:t>
      </w:r>
      <w:r>
        <w:rPr>
          <w:rFonts w:ascii="Arial" w:hAnsi="Arial" w:cs="Arial"/>
          <w:sz w:val="22"/>
          <w:szCs w:val="22"/>
        </w:rPr>
        <w:t xml:space="preserve"> puisse fournir aux utilisateurs finaux des noms de tags lisibles et localisables, les listes de données doivent contenir les informations nécessaires et une structure permettant à </w:t>
      </w:r>
      <w:r>
        <w:rPr>
          <w:rFonts w:ascii="Arial" w:hAnsi="Arial" w:cs="Arial"/>
          <w:sz w:val="22"/>
          <w:szCs w:val="22"/>
          <w:b/>
          <w:bCs/>
        </w:rPr>
        <w:t>Kiona</w:t>
      </w:r>
      <w:r>
        <w:rPr>
          <w:rFonts w:ascii="Arial" w:hAnsi="Arial" w:cs="Arial"/>
          <w:sz w:val="22"/>
          <w:szCs w:val="22"/>
        </w:rPr>
        <w:t xml:space="preserve"> de construire correctement les bases de données de tags.</w:t>
      </w:r>
    </w:p>
    <w:p>
      <w:pPr>
        <w:spacing w:before="0" w:after="120"/>
      </w:pPr>
      <w:r>
        <w:rPr>
          <w:rFonts w:ascii="Arial" w:hAnsi="Arial" w:cs="Arial"/>
          <w:sz w:val="22"/>
          <w:szCs w:val="22"/>
        </w:rPr>
        <w:t>Voici quelques directives générales :</w:t>
      </w:r>
    </w:p>
    <w:p>
      <w:pPr>
        <w:pStyle w:val="Liststycke"/>
        <w:numPr>
          <w:ilvl w:val="0"/>
          <w:numId w:val="1"/>
        </w:numPr>
        <w:spacing w:after="80"/>
      </w:pPr>
      <w:r>
        <w:rPr>
          <w:rFonts w:ascii="Arial" w:hAnsi="Arial" w:cs="Arial"/>
          <w:sz w:val="22"/>
          <w:szCs w:val="22"/>
        </w:rPr>
        <w:t>Kiona suppose qu'un numéro de système et un code de composant du système de marquage interdisciplinaire (TFM) sont saisis pour chaque ligne de paramètre/tag, ainsi qu'une description de paramètre simple, soit par composant physique, soit par fonction.</w:t>
      </w:r>
    </w:p>
    <w:p>
      <w:pPr>
        <w:pStyle w:val="Liststycke"/>
        <w:numPr>
          <w:ilvl w:val="0"/>
          <w:numId w:val="1"/>
        </w:numPr>
        <w:spacing w:after="80"/>
      </w:pPr>
      <w:r>
        <w:rPr>
          <w:rFonts w:ascii="Arial" w:hAnsi="Arial" w:cs="Arial"/>
          <w:sz w:val="22"/>
          <w:szCs w:val="22"/>
        </w:rPr>
        <w:t>Pour la commande de pièce, il doit être possible de séparer chaque pièce, étage et, si nécessaire, bâtiment ou aile.</w:t>
      </w:r>
    </w:p>
    <w:p>
      <w:pPr>
        <w:pStyle w:val="Liststycke"/>
        <w:numPr>
          <w:ilvl w:val="0"/>
          <w:numId w:val="1"/>
        </w:numPr>
        <w:spacing w:after="80"/>
      </w:pPr>
      <w:r>
        <w:rPr>
          <w:rFonts w:ascii="Arial" w:hAnsi="Arial" w:cs="Arial"/>
          <w:sz w:val="22"/>
          <w:szCs w:val="22"/>
        </w:rPr>
        <w:t>Toutes les fonctions similaires dans chaque pièce doivent recevoir le même code de fonction.</w:t>
      </w:r>
    </w:p>
    <w:p>
      <w:pPr>
        <w:pStyle w:val="Liststycke"/>
        <w:numPr>
          <w:ilvl w:val="0"/>
          <w:numId w:val="1"/>
        </w:numPr>
        <w:spacing w:after="80"/>
      </w:pPr>
      <w:r>
        <w:rPr>
          <w:rFonts w:ascii="Arial" w:hAnsi="Arial" w:cs="Arial"/>
          <w:sz w:val="22"/>
          <w:szCs w:val="22"/>
        </w:rPr>
        <w:t>Pour les composants centraux de niveau supérieur et les fonctions délimitées par zone, l'attribution de zone/groupe doit être indiquée pour chaque ligne de paramètre.</w:t>
      </w:r>
    </w:p>
    <w:p>
      <w:pPr>
        <w:pStyle w:val="Liststycke"/>
        <w:numPr>
          <w:ilvl w:val="0"/>
          <w:numId w:val="1"/>
        </w:numPr>
        <w:spacing w:after="80"/>
      </w:pPr>
      <w:r>
        <w:rPr>
          <w:rFonts w:ascii="Arial" w:hAnsi="Arial" w:cs="Arial"/>
          <w:sz w:val="22"/>
          <w:szCs w:val="22"/>
        </w:rPr>
        <w:t>Pour les listes qui concernent un appareil ne desservant qu'un seul numéro de système, le numéro de système peut être omis.</w:t>
      </w:r>
    </w:p>
    <w:p>
      <w:pPr>
        <w:spacing w:before="0" w:after="120"/>
      </w:pPr>
      <w:r>
        <w:rPr>
          <w:rFonts w:ascii="Arial" w:hAnsi="Arial" w:cs="Arial"/>
          <w:sz w:val="22"/>
          <w:szCs w:val="22"/>
        </w:rPr>
        <w:t xml:space="preserve">La norme de code de composant </w:t>
      </w:r>
      <w:r>
        <w:rPr>
          <w:rFonts w:ascii="Arial" w:hAnsi="Arial" w:cs="Arial"/>
          <w:sz w:val="22"/>
          <w:szCs w:val="22"/>
          <w:b/>
          <w:bCs/>
        </w:rPr>
        <w:t>IWMAC</w:t>
      </w:r>
      <w:r>
        <w:rPr>
          <w:rFonts w:ascii="Arial" w:hAnsi="Arial" w:cs="Arial"/>
          <w:sz w:val="22"/>
          <w:szCs w:val="22"/>
        </w:rPr>
        <w:t xml:space="preserve"> est utilisée dans les images sauf accord contraire ou si les codes de composants ne figurent pas dans la liste de tags ou le schéma système associé. Toutes les pièces justificatives doivent être cohérentes dans le codage des caractères afin que </w:t>
      </w:r>
      <w:r>
        <w:rPr>
          <w:rFonts w:ascii="Arial" w:hAnsi="Arial" w:cs="Arial"/>
          <w:sz w:val="22"/>
          <w:szCs w:val="22"/>
          <w:b/>
          <w:bCs/>
        </w:rPr>
        <w:t>Kiona</w:t>
      </w:r>
      <w:r>
        <w:rPr>
          <w:rFonts w:ascii="Arial" w:hAnsi="Arial" w:cs="Arial"/>
          <w:sz w:val="22"/>
          <w:szCs w:val="22"/>
        </w:rPr>
        <w:t xml:space="preserve"> puisse identifier les affectations des composants.</w:t>
      </w:r>
    </w:p>
    <w:p>
      <w:pPr>
        <w:spacing w:after="0"/>
      </w:pPr>
    </w:p>
    <w:p>
      <w:pPr>
        <w:pStyle w:val="Normal"/>
      </w:pPr>
      <w:r>
        <w:t xml:space="preserve">Pour les objets BACnet, le codage TFM peut souvent être inclus dans le nom de l’objet lui-même, tandis que la description est ajoutée dans l’attribut «description». D’autres structures sont également possibles tant que le tag contient toutes les informations nécessaires et la structure décrite précédemment.</w:t>
      </w:r>
    </w:p>
    <w:p>
      <w:pPr>
        <w:pStyle w:val="Normal"/>
      </w:pPr>
      <w:r>
        <w:t xml:space="preserve">Dans les listes de tags Modbus, KNX, OPC, N2 et similaires, le codage TFM et la description peuvent typiquement faire partie d’un seul et même texte. Il est alors important que la structure soit identique pour toutes les lignes, avec le code système-composant-fonction dans un ordre fixe – avec des délimiteurs fixes en premier et la description à la fin.</w:t>
      </w:r>
    </w:p>
    <w:p>
      <w:pPr>
        <w:pStyle w:val="ListParagraph"/>
      </w:pPr>
      <w:r>
        <w:t xml:space="preserve">R201_SQ501_spjv – Reprise VAV1 angle volet</w:t>
      </w:r>
    </w:p>
    <w:p>
      <w:pPr>
        <w:pStyle w:val="ListParagraph"/>
      </w:pPr>
      <w:r>
        <w:t xml:space="preserve">R201_SQ402_lm – Soufflage VAV2 débit d’air</w:t>
      </w:r>
    </w:p>
    <w:p>
      <w:pPr>
        <w:pStyle w:val="ListParagraph"/>
      </w:pPr>
      <w:r>
        <w:t xml:space="preserve">R201_SQ401_lm – Soufflage VAV1 débit d’air</w:t>
      </w:r>
    </w:p>
    <w:p>
      <w:pPr>
        <w:pStyle w:val="ListParagraph"/>
      </w:pPr>
      <w:r>
        <w:t xml:space="preserve">R201_HVlv – Commande chauffage</w:t>
      </w:r>
    </w:p>
    <w:p>
      <w:pPr>
        <w:pStyle w:val="ListParagraph"/>
      </w:pPr>
      <w:r>
        <w:t xml:space="preserve">R201_BasSetp – Consigne de base</w:t>
      </w:r>
    </w:p>
    <w:p>
      <w:pPr>
        <w:pStyle w:val="ListParagraph"/>
      </w:pPr>
      <w:r>
        <w:t xml:space="preserve">R201_Erverdi – Température de pièce</w:t>
      </w:r>
    </w:p>
    <w:p>
      <w:pPr>
        <w:pStyle w:val="Heading3"/>
      </w:pPr>
      <w:r>
        <w:t xml:space="preserve">Exemple pour les pièces :</w:t>
      </w:r>
    </w:p>
    <w:p>
      <w:pPr>
        <w:pStyle w:val="ListParagraph"/>
      </w:pPr>
      <w:r>
        <w:t xml:space="preserve">360.001 RT401 Consigne calculée  ou  no_bâtiment_360001_RT401_ASP consigne trav.</w:t>
      </w:r>
    </w:p>
    <w:p>
      <w:pPr>
        <w:pStyle w:val="ListParagraph"/>
      </w:pPr>
      <w:r>
        <w:t xml:space="preserve">360.001 RT401 Température soufflage  ou  no_bâtiment_360001_RT401_PV Température soufflage</w:t>
      </w:r>
    </w:p>
    <w:p>
      <w:pPr>
        <w:pStyle w:val="Heading3"/>
      </w:pPr>
      <w:r>
        <w:t xml:space="preserve">Exemple pour capteur de température (valeur de processus) et paramètre de consigne calculée :</w:t>
      </w:r>
    </w:p>
    <w:p>
      <w:pPr>
        <w:pStyle w:val="Normal"/>
      </w:pPr>
      <w:r>
        <w:t xml:space="preserve">Le standard de code de composant Kiona sera utilisé dans les images sauf accord contraire, ou si les codes de composant ne figurent pas dans la liste de tags ou le schéma de système associé. Toute la documentation doit être cohérente dans l’encodage des caractères pour que Kiona puisse identifier l’appartenance des composants.</w:t>
      </w:r>
    </w:p>
    <w:p>
      <w:pPr>
        <w:pStyle w:val="Rubrik2"/>
        <w:spacing w:before="200" w:after="100"/>
      </w:pPr>
      <w:r>
        <w:rPr>
          <w:rFonts w:ascii="Arial" w:hAnsi="Arial" w:cs="Arial"/>
          <w:sz w:val="26"/>
          <w:szCs w:val="26"/>
          <w:b/>
          <w:bCs/>
        </w:rPr>
        <w:t>1.5 – Listes de paramètres, fonctionnalité d'alarme et droits d'écriture</w:t>
      </w:r>
    </w:p>
    <w:p>
      <w:pPr>
        <w:spacing w:before="0" w:after="120"/>
      </w:pPr>
      <w:r>
        <w:rPr>
          <w:rFonts w:ascii="Arial" w:hAnsi="Arial" w:cs="Arial"/>
          <w:sz w:val="22"/>
          <w:szCs w:val="22"/>
          <w:b/>
          <w:bCs/>
        </w:rPr>
        <w:t>Kiona</w:t>
      </w:r>
      <w:r>
        <w:rPr>
          <w:rFonts w:ascii="Arial" w:hAnsi="Arial" w:cs="Arial"/>
          <w:sz w:val="22"/>
          <w:szCs w:val="22"/>
        </w:rPr>
        <w:t xml:space="preserve"> doit spécifier directement dans la base de données de tags quels éléments sont lisibles et/ou inscriptibles. Il en va de même pour l'indication du niveau d'alarme pour les points destinés à générer une alarme.</w:t>
      </w:r>
    </w:p>
    <w:p>
      <w:pPr>
        <w:spacing w:before="0" w:after="120"/>
      </w:pPr>
      <w:r>
        <w:rPr>
          <w:rFonts w:ascii="Arial" w:hAnsi="Arial" w:cs="Arial"/>
          <w:sz w:val="22"/>
          <w:szCs w:val="22"/>
        </w:rPr>
        <w:t>IWMAC</w:t>
      </w:r>
      <w:r>
        <w:rPr>
          <w:rFonts w:ascii="Arial" w:hAnsi="Arial" w:cs="Arial"/>
          <w:sz w:val="22"/>
          <w:szCs w:val="22"/>
        </w:rPr>
        <w:t xml:space="preserve"> ne nécessite normalement que des alarmes numériques dans la base de données. Si le client souhaite générer des alarmes sur des valeurs multistate (entier) ou à virgule flottante, une clarification est nécessaire avec le responsable de livraison de </w:t>
      </w:r>
      <w:r>
        <w:rPr>
          <w:rFonts w:ascii="Arial" w:hAnsi="Arial" w:cs="Arial"/>
          <w:sz w:val="22"/>
          <w:szCs w:val="22"/>
          <w:b/>
          <w:bCs/>
        </w:rPr>
        <w:t>Kiona</w:t>
      </w:r>
      <w:r>
        <w:rPr>
          <w:rFonts w:ascii="Arial" w:hAnsi="Arial" w:cs="Arial"/>
          <w:sz w:val="22"/>
          <w:szCs w:val="22"/>
        </w:rPr>
        <w:t xml:space="preserve"> pour savoir si cela est possible et quelles en sont les conséquences.</w:t>
      </w:r>
    </w:p>
    <w:p>
      <w:pPr>
        <w:spacing w:before="0" w:after="120"/>
      </w:pPr>
      <w:r>
        <w:rPr>
          <w:rFonts w:ascii="Arial" w:hAnsi="Arial" w:cs="Arial"/>
          <w:sz w:val="22"/>
          <w:szCs w:val="22"/>
        </w:rPr>
        <w:t xml:space="preserve">Voir l'annexe de protocole spécifique pour un aperçu des informations dont </w:t>
      </w:r>
      <w:r>
        <w:rPr>
          <w:rFonts w:ascii="Arial" w:hAnsi="Arial" w:cs="Arial"/>
          <w:sz w:val="22"/>
          <w:szCs w:val="22"/>
          <w:b/>
          <w:bCs/>
        </w:rPr>
        <w:t>Kiona</w:t>
      </w:r>
      <w:r>
        <w:rPr>
          <w:rFonts w:ascii="Arial" w:hAnsi="Arial" w:cs="Arial"/>
          <w:sz w:val="22"/>
          <w:szCs w:val="22"/>
        </w:rPr>
        <w:t xml:space="preserve"> a besoin concernant si les points doivent être inscriptibles ou définir des points d'alarme, ainsi que le niveau d'alarme associé.</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9360"/>
      </w:tblGrid>
      <w:tr>
        <w:tc>
          <w:tcPr>
            <w:tcW w:w="9360" w:type="dxa"/>
            <w:shd w:val="clear" w:fill="5A2490"/>
            <w:tcMar>
              <w:top w:w="80" w:type="dxa"/>
              <w:left w:w="120" w:type="dxa"/>
              <w:bottom w:w="80" w:type="dxa"/>
              <w:right w:w="120" w:type="dxa"/>
            </w:tcMar>
          </w:tcPr>
          <w:p>
            <w:pPr>
              <w:spacing w:after="0"/>
            </w:pPr>
            <w:r>
              <w:rPr>
                <w:rFonts w:ascii="Arial" w:hAnsi="Arial" w:cs="Arial"/>
                <w:sz w:val="20"/>
                <w:szCs w:val="20"/>
                <w:b/>
                <w:bCs/>
                <w:color w:val="FFFFFF"/>
              </w:rPr>
              <w:t>Listes de contrôle IWMAC</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2.1 – IWMAC Liste de contrôle – BACnet.docx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2.2 – IWMAC Liste de contrôle – Modbus.docx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2.3 – IWMAC Liste de contrôle – N2-Open.docx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2.4 – IWMAC Liste de contrôle – KNX.docx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2.5 – IWMAC Liste de contrôle – OPC.docx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3.1 – IWMAC Liste de contrôle – Ventilation.docx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3.2 – IWMAC Liste de contrôle – Systèmes de chauffage et de refroidissement.docx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3.3 – IWMAC Liste de contrôle – Commande de pièce.docx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3.4 – IWMAC Liste de contrôle – Technique et électrique.docx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3.5 – IWMAC Liste de contrôle – Rapport énergétique.docx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3.6 – IWMAC Liste de contrôle – EOS (Système de surveillance énergétique).docx</w:t>
            </w:r>
          </w:p>
        </w:tc>
      </w:tr>
    </w:tbl>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9360"/>
      </w:tblGrid>
      <w:tr>
        <w:tc>
          <w:tcPr>
            <w:tcW w:w="9360" w:type="dxa"/>
            <w:shd w:val="clear" w:fill="5A2490"/>
            <w:tcMar>
              <w:top w:w="80" w:type="dxa"/>
              <w:left w:w="120" w:type="dxa"/>
              <w:bottom w:w="80" w:type="dxa"/>
              <w:right w:w="120" w:type="dxa"/>
            </w:tcMar>
          </w:tcPr>
          <w:p>
            <w:pPr>
              <w:spacing w:after="0"/>
            </w:pPr>
            <w:r>
              <w:rPr>
                <w:rFonts w:ascii="Arial" w:hAnsi="Arial" w:cs="Arial"/>
                <w:sz w:val="20"/>
                <w:szCs w:val="20"/>
                <w:b/>
                <w:bCs/>
                <w:color w:val="FFFFFF"/>
              </w:rPr>
              <w:t>Modèles IWMAC</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MODÈLE 01 – Rapport énergétique.xltx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MODÈLE 02 – Signaux techniques.xltx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MODÈLE 03 – BACnet EDE.csv</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MODÈLE 04 – BACnet StateTexts.csv</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MODÈLE 05 – DX9100.xltx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MODÈLE 06 – EOS.xltx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MODÈLE 07 – FX15.xltx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MODÈLE 08 – Modbus.xltx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MODÈLE 09 – Liste de pièces.xltx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MODÈLE 10 – Topologie simple, IP uniquement.xltx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MODÈLE 11 – Topologie IP et convertisseurs série.xltx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MODÈLE 12 – Topologie.png</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MODÈLE 13 – Topologie (gliffy)</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