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2.3 IWMAC Liste de contrôle – N2 / N2 Open</w:t>
      </w:r>
    </w:p>
    <w:p>
      <w:pPr>
        <w:spacing w:before="0" w:after="120"/>
      </w:pPr>
      <w:r>
        <w:rPr>
          <w:rFonts w:ascii="Arial" w:hAnsi="Arial" w:cs="Arial"/>
          <w:sz w:val="22"/>
          <w:szCs w:val="22"/>
        </w:rPr>
        <w:t xml:space="preserve">Pour que </w:t>
      </w:r>
      <w:r>
        <w:rPr>
          <w:rFonts w:ascii="Arial" w:hAnsi="Arial" w:cs="Arial"/>
          <w:sz w:val="22"/>
          <w:szCs w:val="22"/>
          <w:b/>
          <w:bCs/>
        </w:rPr>
        <w:t>Kiona</w:t>
      </w:r>
      <w:r>
        <w:rPr>
          <w:rFonts w:ascii="Arial" w:hAnsi="Arial" w:cs="Arial"/>
          <w:sz w:val="22"/>
          <w:szCs w:val="22"/>
        </w:rPr>
        <w:t xml:space="preserve"> puisse intégrer un appareil dans </w:t>
      </w:r>
      <w:r>
        <w:rPr>
          <w:rFonts w:ascii="Arial" w:hAnsi="Arial" w:cs="Arial"/>
          <w:sz w:val="22"/>
          <w:szCs w:val="22"/>
          <w:b/>
          <w:bCs/>
        </w:rPr>
        <w:t>IWMAC</w:t>
      </w:r>
      <w:r>
        <w:rPr>
          <w:rFonts w:ascii="Arial" w:hAnsi="Arial" w:cs="Arial"/>
          <w:sz w:val="22"/>
          <w:szCs w:val="22"/>
        </w:rPr>
        <w:t xml:space="preserve"> via N2/N2 Open, certaines informations sont nécessaires. Il n'est pas possible de "scanner" les appareils ou les points de données.</w:t>
      </w:r>
    </w:p>
    <w:p>
      <w:pPr>
        <w:spacing w:before="0" w:after="120"/>
      </w:pPr>
      <w:r>
        <w:rPr>
          <w:rFonts w:ascii="Arial" w:hAnsi="Arial" w:cs="Arial"/>
          <w:sz w:val="22"/>
          <w:szCs w:val="22"/>
        </w:rPr>
        <w:t>Il doit y avoir suffisamment de paramètres pour que les fonctions de base d'un système de supervision soient satisfaites (Marche/Défaut/Gel/Calendrier/Températures/Consigne, etc.)</w:t>
      </w:r>
    </w:p>
    <w:p>
      <w:pPr>
        <w:spacing w:after="0"/>
      </w:pPr>
    </w:p>
    <w:p>
      <w:pPr>
        <w:spacing w:before="0" w:after="120"/>
      </w:pPr>
      <w:r>
        <w:rPr>
          <w:rFonts w:ascii="Arial" w:hAnsi="Arial" w:cs="Arial"/>
          <w:sz w:val="22"/>
          <w:szCs w:val="22"/>
        </w:rPr>
        <w:t>Selon l'équipement à intégrer, certaines variations des pièces justificatives sont demandées.</w:t>
      </w:r>
    </w:p>
    <w:p>
      <w:pPr>
        <w:spacing w:before="0" w:after="120"/>
      </w:pPr>
      <w:r>
        <w:rPr>
          <w:rFonts w:ascii="Arial" w:hAnsi="Arial" w:cs="Arial"/>
          <w:sz w:val="22"/>
          <w:szCs w:val="22"/>
        </w:rPr>
        <w:t>Pour chaque paramètre à intégrer, les informations suivantes sont requises :</w:t>
      </w:r>
    </w:p>
    <w:p>
      <w:pPr>
        <w:pStyle w:val="Liststycke"/>
        <w:numPr>
          <w:ilvl w:val="0"/>
          <w:numId w:val="1"/>
        </w:numPr>
        <w:spacing w:after="80"/>
      </w:pPr>
      <w:r>
        <w:rPr>
          <w:rFonts w:ascii="Arial" w:hAnsi="Arial" w:cs="Arial"/>
          <w:sz w:val="22"/>
          <w:szCs w:val="22"/>
        </w:rPr>
        <w:t>Description avec système, code de composant et texte descriptif – voir document "1 – Guide de conception et d'intégration"</w:t>
      </w:r>
    </w:p>
    <w:p>
      <w:pPr>
        <w:pStyle w:val="Liststycke"/>
        <w:numPr>
          <w:ilvl w:val="0"/>
          <w:numId w:val="1"/>
        </w:numPr>
        <w:spacing w:after="80"/>
      </w:pPr>
      <w:r>
        <w:rPr>
          <w:rFonts w:ascii="Arial" w:hAnsi="Arial" w:cs="Arial"/>
          <w:sz w:val="22"/>
          <w:szCs w:val="22"/>
        </w:rPr>
        <w:t>Unité de mesure (%, °C, etc.)</w:t>
      </w:r>
    </w:p>
    <w:p>
      <w:pPr>
        <w:pStyle w:val="Liststycke"/>
        <w:numPr>
          <w:ilvl w:val="0"/>
          <w:numId w:val="1"/>
        </w:numPr>
        <w:spacing w:after="80"/>
      </w:pPr>
      <w:r>
        <w:rPr>
          <w:rFonts w:ascii="Arial" w:hAnsi="Arial" w:cs="Arial"/>
          <w:sz w:val="22"/>
          <w:szCs w:val="22"/>
        </w:rPr>
        <w:t>Texte d'état (0=Éteint 1=Allumé 2=Auto, 0=Normal 1=Défaut, etc.)</w:t>
      </w:r>
    </w:p>
    <w:p>
      <w:pPr>
        <w:pStyle w:val="Liststycke"/>
        <w:numPr>
          <w:ilvl w:val="0"/>
          <w:numId w:val="1"/>
        </w:numPr>
        <w:spacing w:after="80"/>
      </w:pPr>
      <w:r>
        <w:rPr>
          <w:rFonts w:ascii="Arial" w:hAnsi="Arial" w:cs="Arial"/>
          <w:sz w:val="22"/>
          <w:szCs w:val="22"/>
        </w:rPr>
        <w:t>Lecture/Lecture-Écriture</w:t>
      </w:r>
    </w:p>
    <w:p>
      <w:pPr>
        <w:spacing w:after="0"/>
      </w:pPr>
    </w:p>
    <w:p>
      <w:pPr>
        <w:pStyle w:val="Rubrik3"/>
        <w:spacing w:before="200" w:after="100"/>
      </w:pPr>
      <w:r>
        <w:rPr>
          <w:rFonts w:ascii="Arial" w:hAnsi="Arial" w:cs="Arial"/>
          <w:sz w:val="24"/>
          <w:szCs w:val="24"/>
          <w:b/>
          <w:bCs/>
        </w:rPr>
        <w:t>N2 – Johnson DX spécifiquement (SYS91/Metasys)</w:t>
      </w:r>
    </w:p>
    <w:p>
      <w:pPr>
        <w:pStyle w:val="Liststycke"/>
        <w:numPr>
          <w:ilvl w:val="0"/>
          <w:numId w:val="1"/>
        </w:numPr>
        <w:spacing w:after="80"/>
      </w:pPr>
      <w:r>
        <w:rPr>
          <w:rFonts w:ascii="Arial" w:hAnsi="Arial" w:cs="Arial"/>
          <w:sz w:val="22"/>
          <w:szCs w:val="22"/>
        </w:rPr>
        <w:t>Les points internes dans les régulateurs doivent être spécifiés dans les listes de paramètres s'ils doivent être intégrés. Si IWMAC doit par exemple piloter l'installation avec son calendrier de supervision sur DCO1, cela doit être spécifié.</w:t>
      </w:r>
    </w:p>
    <w:p>
      <w:pPr>
        <w:pStyle w:val="Liststycke"/>
        <w:numPr>
          <w:ilvl w:val="0"/>
          <w:numId w:val="1"/>
        </w:numPr>
        <w:spacing w:after="80"/>
      </w:pPr>
      <w:r>
        <w:rPr>
          <w:rFonts w:ascii="Arial" w:hAnsi="Arial" w:cs="Arial"/>
          <w:sz w:val="22"/>
          <w:szCs w:val="22"/>
        </w:rPr>
        <w:t>Il ne suffit pas de spécifier uniquement les entrées/sorties analogiques/numériques. Les points internes doivent également être indiqués pour inclure les consignes, courbes, commutateurs, alarmes sur capteurs, etc.</w:t>
      </w:r>
    </w:p>
    <w:p>
      <w:pPr>
        <w:pStyle w:val="Liststycke"/>
        <w:numPr>
          <w:ilvl w:val="0"/>
          <w:numId w:val="1"/>
        </w:numPr>
        <w:spacing w:after="80"/>
      </w:pPr>
      <w:r>
        <w:rPr>
          <w:rFonts w:ascii="Arial" w:hAnsi="Arial" w:cs="Arial"/>
          <w:sz w:val="22"/>
          <w:szCs w:val="22"/>
        </w:rPr>
        <w:t>Les listes de paramètres pour Johnson DX doivent contenir les adresses du protocole N2 (selon la documentation Johnson, par ex. : AI1, XT3DI1, PM10K02, OUT1, HIA1, AIH1, etc.).</w:t>
      </w:r>
    </w:p>
    <w:p>
      <w:pPr>
        <w:spacing w:after="0"/>
      </w:pPr>
    </w:p>
    <w:p>
      <w:pPr>
        <w:pStyle w:val="Rubrik3"/>
        <w:spacing w:before="200" w:after="100"/>
      </w:pPr>
      <w:r>
        <w:rPr>
          <w:rFonts w:ascii="Arial" w:hAnsi="Arial" w:cs="Arial"/>
          <w:sz w:val="24"/>
          <w:szCs w:val="24"/>
          <w:b/>
          <w:bCs/>
        </w:rPr>
        <w:t>N2 Open – Johnson FX spécifiquement</w:t>
      </w:r>
    </w:p>
    <w:p>
      <w:pPr>
        <w:pStyle w:val="Liststycke"/>
        <w:numPr>
          <w:ilvl w:val="0"/>
          <w:numId w:val="1"/>
        </w:numPr>
        <w:spacing w:after="80"/>
      </w:pPr>
      <w:r>
        <w:rPr>
          <w:rFonts w:ascii="Arial" w:hAnsi="Arial" w:cs="Arial"/>
          <w:sz w:val="22"/>
          <w:szCs w:val="22"/>
        </w:rPr>
        <w:t>Il ne suffit pas de soumettre le fichier .prn pour la configuration d'un régulateur FX, car celui-ci contient trop peu de caractères et trop peu d'informations pour obtenir une bonne explication des différents paramètres.</w:t>
      </w:r>
    </w:p>
    <w:p>
      <w:pPr>
        <w:pStyle w:val="Liststycke"/>
        <w:numPr>
          <w:ilvl w:val="0"/>
          <w:numId w:val="1"/>
        </w:numPr>
        <w:spacing w:after="80"/>
      </w:pPr>
      <w:r>
        <w:rPr>
          <w:rFonts w:ascii="Arial" w:hAnsi="Arial" w:cs="Arial"/>
          <w:sz w:val="22"/>
          <w:szCs w:val="22"/>
        </w:rPr>
        <w:t>Si des points ADI avec des bits sont utilisés, ceux-ci doivent être spécifiés particulièrement dans la liste de paramètres.</w:t>
      </w:r>
    </w:p>
    <w:p>
      <w:pPr>
        <w:pStyle w:val="Liststycke"/>
        <w:numPr>
          <w:ilvl w:val="0"/>
          <w:numId w:val="1"/>
        </w:numPr>
        <w:spacing w:after="80"/>
      </w:pPr>
      <w:r>
        <w:rPr>
          <w:rFonts w:ascii="Arial" w:hAnsi="Arial" w:cs="Arial"/>
          <w:sz w:val="22"/>
          <w:szCs w:val="22"/>
        </w:rPr>
        <w:t>Les listes de paramètres pour Johnson FX configurées dans Excel doivent contenir les adresses du protocole N2 (adf1, adi1, bd1, adi1, bit1).</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Liste de contrôle – N2</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Appareil:____________________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Point de contrôle</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Explication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Effectué (Oui/Non)</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Vérifier le nombre d'appareils et le taux de rafraîchissement</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Une évaluation du nombre d'appareils sur les boucles série a été effectuée pour assurer un taux de rafraîchissement suffisant.</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Vérifier les adresses et le paramétrage de communication</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Tous les appareils série sur une boucle ont des adresses esclaves uniques et un paramétrage de communication similaire. Débit en bauds, bits de données et d'arrêt, parité.</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Le(s) appareil(s) a/ont été entièrement mis en service et testé(s) fonctionnellement.</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La topologie de bus avec tous les appareils a été soumise.</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Les adresses esclaves, les paramètres de communication, les adresses IP, les ports COM, les convertisseurs de médias, etc. sont décrits.</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Liste de tags</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La liste de tags complète a été préparée comme décrit dans ce guide et soumise à Kiona.</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