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Liste de contrôle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intégrer KNX dans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certaines informations sont nécessaires. Le client doit exporter et transmettre les données nécessaires depuis ETS.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Avant la programmation de l'installation, la structure d'adresses de groupe et la dénomination doivent être transmises à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pour examen et approbation.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Appareil:____________________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structure d'adresses de groupe a été clarifiée et approuvée par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structure est également adaptée pour une liaison efficace des images de commande de pièce.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Tous les paramètres sont nommés conformément à "1 – Guide de conception et d'intégration", ou alternativement discutés et approuvés avec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Tous les composants du bus ont été entièrement mis en service et testés fonctionnellement.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 a été informée du nombre de points de données à intégrer.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Licence pour le nombre de points de données et le nombre de passerelles.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Topologie montrant chaque passerelle avec les lignes de bus et adresses sous-jacentes.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Feuille Excel avec les informations nécessaires au-delà du contenu du fichier ESF a été créée et soumise à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Fichier *.esf de ETS, nettoyé des paramètres à ne pas intégrer, a été soumis à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Rapproché avec le nombre de points indiqué lors de la commande de licence.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Une vue d'ensemble des IWMAC calendrier de supervisions souhaités et des points de données qu'ils doivent écrire a été soumise à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heures de fonctionnement doivent être connues si Kiona doit les saisir.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