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2.5 IWMAC Liste de contrôle – OPC DA</w:t>
      </w:r>
    </w:p>
    <w:p>
      <w:pPr>
        <w:spacing w:before="0" w:after="120"/>
      </w:pPr>
      <w:r>
        <w:rPr>
          <w:rFonts w:ascii="Arial" w:hAnsi="Arial" w:cs="Arial"/>
          <w:sz w:val="22"/>
          <w:szCs w:val="22"/>
        </w:rPr>
        <w:t xml:space="preserve">Pour que </w:t>
      </w:r>
      <w:r>
        <w:rPr>
          <w:rFonts w:ascii="Arial" w:hAnsi="Arial" w:cs="Arial"/>
          <w:sz w:val="22"/>
          <w:szCs w:val="22"/>
          <w:b/>
          <w:bCs/>
        </w:rPr>
        <w:t>Kiona</w:t>
      </w:r>
      <w:r>
        <w:rPr>
          <w:rFonts w:ascii="Arial" w:hAnsi="Arial" w:cs="Arial"/>
          <w:sz w:val="22"/>
          <w:szCs w:val="22"/>
        </w:rPr>
        <w:t xml:space="preserve"> puisse intégrer un appareil dans </w:t>
      </w:r>
      <w:r>
        <w:rPr>
          <w:rFonts w:ascii="Arial" w:hAnsi="Arial" w:cs="Arial"/>
          <w:sz w:val="22"/>
          <w:szCs w:val="22"/>
          <w:b/>
          <w:bCs/>
        </w:rPr>
        <w:t>IWMAC</w:t>
      </w:r>
      <w:r>
        <w:rPr>
          <w:rFonts w:ascii="Arial" w:hAnsi="Arial" w:cs="Arial"/>
          <w:sz w:val="22"/>
          <w:szCs w:val="22"/>
        </w:rPr>
        <w:t xml:space="preserve"> via OPC, certaines informations sont nécessaires.</w:t>
      </w:r>
    </w:p>
    <w:p>
      <w:pPr>
        <w:spacing w:before="0" w:after="120"/>
      </w:pPr>
      <w:r>
        <w:rPr>
          <w:rFonts w:ascii="Arial" w:hAnsi="Arial" w:cs="Arial"/>
          <w:sz w:val="22"/>
          <w:szCs w:val="22"/>
        </w:rPr>
        <w:t xml:space="preserve">Il est souvent difficile d'établir une communication lorsqu'un serveur OPC est placé sur un autre PC du réseau. </w:t>
      </w:r>
      <w:r>
        <w:rPr>
          <w:rFonts w:ascii="Arial" w:hAnsi="Arial" w:cs="Arial"/>
          <w:sz w:val="22"/>
          <w:szCs w:val="22"/>
          <w:b/>
          <w:bCs/>
        </w:rPr>
        <w:t>Kiona</w:t>
      </w:r>
      <w:r>
        <w:rPr>
          <w:rFonts w:ascii="Arial" w:hAnsi="Arial" w:cs="Arial"/>
          <w:sz w:val="22"/>
          <w:szCs w:val="22"/>
        </w:rPr>
        <w:t xml:space="preserve"> a donc généralement besoin de savoir si le serveur OPC peut être installé sur un PC IWMAC.</w:t>
      </w:r>
    </w:p>
    <w:p>
      <w:pPr>
        <w:spacing w:after="0"/>
      </w:pPr>
    </w:p>
    <w:p>
      <w:pPr>
        <w:pStyle w:val="Rubrik3"/>
        <w:spacing w:before="200" w:after="100"/>
      </w:pPr>
      <w:r>
        <w:rPr>
          <w:rFonts w:ascii="Arial" w:hAnsi="Arial" w:cs="Arial"/>
          <w:sz w:val="24"/>
          <w:szCs w:val="24"/>
          <w:b/>
          <w:bCs/>
        </w:rPr>
        <w:t>Informations de connexion OPC</w:t>
      </w:r>
    </w:p>
    <w:p>
      <w:pPr>
        <w:pStyle w:val="Liststycke"/>
        <w:numPr>
          <w:ilvl w:val="0"/>
          <w:numId w:val="1"/>
        </w:numPr>
        <w:spacing w:after="80"/>
      </w:pPr>
      <w:r>
        <w:rPr>
          <w:rFonts w:ascii="Arial" w:hAnsi="Arial" w:cs="Arial"/>
          <w:sz w:val="22"/>
          <w:szCs w:val="22"/>
        </w:rPr>
        <w:t>La chaîne de connexion au serveur OPC (le nom du serveur OPC à utiliser pour notre client OPC).</w:t>
      </w:r>
    </w:p>
    <w:p>
      <w:pPr>
        <w:pStyle w:val="Liststycke"/>
        <w:numPr>
          <w:ilvl w:val="0"/>
          <w:numId w:val="1"/>
        </w:numPr>
        <w:spacing w:after="80"/>
      </w:pPr>
      <w:r>
        <w:rPr>
          <w:rFonts w:ascii="Arial" w:hAnsi="Arial" w:cs="Arial"/>
          <w:sz w:val="22"/>
          <w:szCs w:val="22"/>
        </w:rPr>
        <w:t>Le nom d'utilisateur et le mot de passe éventuels que le client doit utiliser pour se connecter au serveur OPC.</w:t>
      </w:r>
    </w:p>
    <w:p>
      <w:pPr>
        <w:pStyle w:val="Liststycke"/>
        <w:numPr>
          <w:ilvl w:val="0"/>
          <w:numId w:val="1"/>
        </w:numPr>
        <w:spacing w:after="80"/>
      </w:pPr>
      <w:r>
        <w:rPr>
          <w:rFonts w:ascii="Arial" w:hAnsi="Arial" w:cs="Arial"/>
          <w:sz w:val="22"/>
          <w:szCs w:val="22"/>
        </w:rPr>
        <w:t>Le nom d'adresse de groupe et le chemin d'accès si le serveur OPC l'exige.</w:t>
      </w:r>
    </w:p>
    <w:p>
      <w:pPr>
        <w:pStyle w:val="Liststycke"/>
        <w:numPr>
          <w:ilvl w:val="0"/>
          <w:numId w:val="1"/>
        </w:numPr>
        <w:spacing w:after="80"/>
      </w:pPr>
      <w:r>
        <w:rPr>
          <w:rFonts w:ascii="Arial" w:hAnsi="Arial" w:cs="Arial"/>
          <w:sz w:val="22"/>
          <w:szCs w:val="22"/>
        </w:rPr>
        <w:t>Si le serveur est installé sur un PC autre qu'un PC IWMAC, le client doit fournir un aperçu de tous les paramètres pertinents à définir pour la configuration DCOM, ainsi que le nom de la machine, les paramètres réseau tels que l'adresse IP, le nom d'utilisateur et le mot de passe du compte exécutant et administrant le serveur OPC.</w:t>
      </w:r>
    </w:p>
    <w:p>
      <w:pPr>
        <w:pStyle w:val="Liststycke"/>
        <w:numPr>
          <w:ilvl w:val="0"/>
          <w:numId w:val="1"/>
        </w:numPr>
        <w:spacing w:after="80"/>
      </w:pPr>
      <w:r>
        <w:rPr>
          <w:rFonts w:ascii="Arial" w:hAnsi="Arial" w:cs="Arial"/>
          <w:sz w:val="22"/>
          <w:szCs w:val="22"/>
        </w:rPr>
        <w:t>Le nombre de threads de communication pris en charge en parallèle par le serveur OPC et chaque appareil derrière lui doit être spécifié.</w:t>
      </w:r>
    </w:p>
    <w:p>
      <w:pPr>
        <w:spacing w:after="0"/>
      </w:pPr>
    </w:p>
    <w:p>
      <w:pPr>
        <w:pStyle w:val="Rubrik3"/>
        <w:spacing w:before="200" w:after="100"/>
      </w:pPr>
      <w:r>
        <w:rPr>
          <w:rFonts w:ascii="Arial" w:hAnsi="Arial" w:cs="Arial"/>
          <w:sz w:val="24"/>
          <w:szCs w:val="24"/>
          <w:b/>
          <w:bCs/>
        </w:rPr>
        <w:t>Liste de paramètres</w:t>
      </w:r>
    </w:p>
    <w:p>
      <w:pPr>
        <w:pStyle w:val="Liststycke"/>
        <w:numPr>
          <w:ilvl w:val="0"/>
          <w:numId w:val="1"/>
        </w:numPr>
        <w:spacing w:after="80"/>
      </w:pPr>
      <w:r>
        <w:rPr>
          <w:rFonts w:ascii="Arial" w:hAnsi="Arial" w:cs="Arial"/>
          <w:sz w:val="22"/>
          <w:szCs w:val="22"/>
        </w:rPr>
        <w:t>Nom unique et description du point. Ce texte doit identifier clairement un point par rapport aux autres points correspondants sur des systèmes correspondants et autres, par ex. système de marquage interdisciplinaire (TFM) et code de composant.</w:t>
      </w:r>
    </w:p>
    <w:p>
      <w:pPr>
        <w:pStyle w:val="Liststycke"/>
        <w:numPr>
          <w:ilvl w:val="0"/>
          <w:numId w:val="1"/>
        </w:numPr>
        <w:spacing w:after="80"/>
      </w:pPr>
      <w:r>
        <w:rPr>
          <w:rFonts w:ascii="Arial" w:hAnsi="Arial" w:cs="Arial"/>
          <w:sz w:val="22"/>
          <w:szCs w:val="22"/>
        </w:rPr>
        <w:t>Adresse de registre OPC ainsi que type de données et longueur de données ; voir tableau.</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1400"/>
        <w:gridCol w:w="2000"/>
        <w:gridCol w:w="5960"/>
      </w:tblGrid>
      <w:tr>
        <w:tc>
          <w:tcPr>
            <w:tcW w:w="1400" w:type="dxa"/>
            <w:shd w:val="clear" w:fill="5A2490"/>
            <w:tcMar>
              <w:top w:w="80" w:type="dxa"/>
              <w:left w:w="120" w:type="dxa"/>
              <w:bottom w:w="80" w:type="dxa"/>
              <w:right w:w="120" w:type="dxa"/>
            </w:tcMar>
          </w:tcPr>
          <w:p>
            <w:pPr>
              <w:spacing w:after="0"/>
            </w:pPr>
            <w:r>
              <w:rPr>
                <w:rFonts w:ascii="Arial" w:hAnsi="Arial" w:cs="Arial"/>
                <w:sz w:val="18"/>
                <w:szCs w:val="18"/>
                <w:b/>
                <w:bCs/>
                <w:color w:val="FFFFFF"/>
              </w:rPr>
              <w:t>Valeur (décimal)</w:t>
            </w:r>
          </w:p>
        </w:tc>
        <w:tc>
          <w:tcPr>
            <w:tcW w:w="2000" w:type="dxa"/>
            <w:shd w:val="clear" w:fill="5A2490"/>
            <w:tcMar>
              <w:top w:w="80" w:type="dxa"/>
              <w:left w:w="120" w:type="dxa"/>
              <w:bottom w:w="80" w:type="dxa"/>
              <w:right w:w="120" w:type="dxa"/>
            </w:tcMar>
          </w:tcPr>
          <w:p>
            <w:pPr>
              <w:spacing w:after="0"/>
            </w:pPr>
            <w:r>
              <w:rPr>
                <w:rFonts w:ascii="Arial" w:hAnsi="Arial" w:cs="Arial"/>
                <w:sz w:val="18"/>
                <w:szCs w:val="18"/>
                <w:b/>
                <w:bCs/>
                <w:color w:val="FFFFFF"/>
              </w:rPr>
              <w:t>Type de données</w:t>
            </w:r>
          </w:p>
        </w:tc>
        <w:tc>
          <w:tcPr>
            <w:tcW w:w="5960" w:type="dxa"/>
            <w:shd w:val="clear" w:fill="5A2490"/>
            <w:tcMar>
              <w:top w:w="80" w:type="dxa"/>
              <w:left w:w="120" w:type="dxa"/>
              <w:bottom w:w="80" w:type="dxa"/>
              <w:right w:w="120" w:type="dxa"/>
            </w:tcMar>
          </w:tcPr>
          <w:p>
            <w:pPr>
              <w:spacing w:after="0"/>
            </w:pPr>
            <w:r>
              <w:rPr>
                <w:rFonts w:ascii="Arial" w:hAnsi="Arial" w:cs="Arial"/>
                <w:sz w:val="18"/>
                <w:szCs w:val="18"/>
                <w:b/>
                <w:bCs/>
                <w:color w:val="FFFFFF"/>
              </w:rPr>
              <w:t>Description</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0</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VT_EMPTY</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Défaut/Vide (rien)</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2</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VT_I2</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Entier signé 2 octets</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3</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VT_I4</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Entier signé 4 octets</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4</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VT_R4</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Réel 4 octets</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5</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VT_R8</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Réel 8 octets</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6</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VT_CY</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Devise</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7</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VT_DATE</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Date</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8</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VT_BSTR</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Texte</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10</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VT_ERROR</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Code d'erreur</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11</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VT_BOOL</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Booléen (VRAI = -1, FAUX = 0)</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17</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VT_I1</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Caractère signé 1 octet</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18</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VT_UI1</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Caractère non signé 1 octet</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19</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VT_UI2</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Entier non signé 2 octets</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20</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VT_UI4</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Entier non signé 4 octets</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+8192</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VT_ARRAY</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Tableau de valeurs (ex. 8200 = tableau de valeurs texte)</w:t>
            </w:r>
          </w:p>
        </w:tc>
      </w:tr>
    </w:tbl>
    <w:p>
      <w:pPr>
        <w:spacing w:after="0"/>
      </w:pPr>
    </w:p>
    <w:p>
      <w:pPr>
        <w:pStyle w:val="Liststycke"/>
        <w:numPr>
          <w:ilvl w:val="0"/>
          <w:numId w:val="1"/>
        </w:numPr>
        <w:spacing w:after="80"/>
      </w:pPr>
      <w:r>
        <w:rPr>
          <w:rFonts w:ascii="Arial" w:hAnsi="Arial" w:cs="Arial"/>
          <w:sz w:val="22"/>
          <w:szCs w:val="22"/>
        </w:rPr>
        <w:t>Toute spécification de bit si un seul bit dans un registre doit être exporté comme point de données binaire.</w:t>
      </w:r>
    </w:p>
    <w:p>
      <w:pPr>
        <w:pStyle w:val="Liststycke"/>
        <w:numPr>
          <w:ilvl w:val="0"/>
          <w:numId w:val="1"/>
        </w:numPr>
        <w:spacing w:after="80"/>
      </w:pPr>
      <w:r>
        <w:rPr>
          <w:rFonts w:ascii="Arial" w:hAnsi="Arial" w:cs="Arial"/>
          <w:sz w:val="22"/>
          <w:szCs w:val="22"/>
        </w:rPr>
        <w:t>"Engineering unit" telle que degC, bar, Pa, % et équivalents pour les valeurs analogiques.</w:t>
      </w:r>
    </w:p>
    <w:p>
      <w:pPr>
        <w:pStyle w:val="Liststycke"/>
        <w:numPr>
          <w:ilvl w:val="0"/>
          <w:numId w:val="1"/>
        </w:numPr>
        <w:spacing w:after="80"/>
      </w:pPr>
      <w:r>
        <w:rPr>
          <w:rFonts w:ascii="Arial" w:hAnsi="Arial" w:cs="Arial"/>
          <w:sz w:val="22"/>
          <w:szCs w:val="22"/>
        </w:rPr>
        <w:t>La mise à l'échelle doit être spécifiée si pertinente. La virgule décimale doit-elle être déplacée sur une valeur entière : x10, x0,1, x0,001, etc. ?</w:t>
      </w:r>
    </w:p>
    <w:p>
      <w:pPr>
        <w:pStyle w:val="Liststycke"/>
        <w:numPr>
          <w:ilvl w:val="0"/>
          <w:numId w:val="1"/>
        </w:numPr>
        <w:spacing w:after="80"/>
      </w:pPr>
      <w:r>
        <w:rPr>
          <w:rFonts w:ascii="Arial" w:hAnsi="Arial" w:cs="Arial"/>
          <w:sz w:val="22"/>
          <w:szCs w:val="22"/>
        </w:rPr>
        <w:t>Tous les états représentés par des valeurs booléennes ou entières, par ex. 0=Éteint, 1=Allumé.</w:t>
      </w:r>
    </w:p>
    <w:p>
      <w:pPr>
        <w:pStyle w:val="Liststycke"/>
        <w:numPr>
          <w:ilvl w:val="0"/>
          <w:numId w:val="1"/>
        </w:numPr>
        <w:spacing w:after="80"/>
      </w:pPr>
      <w:r>
        <w:rPr>
          <w:rFonts w:ascii="Arial" w:hAnsi="Arial" w:cs="Arial"/>
          <w:sz w:val="22"/>
          <w:szCs w:val="22"/>
        </w:rPr>
        <w:t>Description claire indiquant si le point est lisible ou inscriptible : r pour lisible, rw pour aussi inscriptible.</w:t>
      </w:r>
    </w:p>
    <w:p>
      <w:pPr>
        <w:pStyle w:val="Liststycke"/>
        <w:numPr>
          <w:ilvl w:val="0"/>
          <w:numId w:val="1"/>
        </w:numPr>
        <w:spacing w:after="80"/>
      </w:pPr>
      <w:r>
        <w:rPr>
          <w:rFonts w:ascii="Arial" w:hAnsi="Arial" w:cs="Arial"/>
          <w:sz w:val="22"/>
          <w:szCs w:val="22"/>
        </w:rPr>
        <w:t>Classification du niveau d'alarme pour les alarmes numériques : A est le plus élevé et envoyé comme message d'alarme, B et C sont des niveaux inférieurs.</w:t>
      </w:r>
    </w:p>
    <w:p>
      <w:pPr>
        <w:spacing w:after="0"/>
      </w:pPr>
    </w:p>
    <w:p>
      <w:pPr>
        <w:spacing w:before="0" w:after="120"/>
      </w:pPr>
      <w:r>
        <w:rPr>
          <w:rFonts w:ascii="Arial" w:hAnsi="Arial" w:cs="Arial"/>
          <w:sz w:val="22"/>
          <w:szCs w:val="22"/>
        </w:rPr>
        <w:t xml:space="preserve">Toutes les unités derrière l'installation OPC doivent avoir été mises en service et testées au préalable, avant que </w:t>
      </w:r>
      <w:r>
        <w:rPr>
          <w:rFonts w:ascii="Arial" w:hAnsi="Arial" w:cs="Arial"/>
          <w:sz w:val="22"/>
          <w:szCs w:val="22"/>
          <w:b/>
          <w:bCs/>
        </w:rPr>
        <w:t>Kiona</w:t>
      </w:r>
      <w:r>
        <w:rPr>
          <w:rFonts w:ascii="Arial" w:hAnsi="Arial" w:cs="Arial"/>
          <w:sz w:val="22"/>
          <w:szCs w:val="22"/>
        </w:rPr>
        <w:t xml:space="preserve"> puisse importer la liste de paramètres.</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Liste de contrôle – OPC-DA</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Appareil:____________________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Point de contrôle</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Explication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Effectué (Oui/Non)</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Tous les paramètres sont nommés conformément à "1 – Guide de conception et d'intégration", ou alternativement discutés et approuvés avec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Tous les composants du bus ont été entièrement mis en service et testés fonctionnellement.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Le client a testé l'accès au serveur OPC avec un client OPC installé sur un PC IWMAC.</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Confirmation que la connectivité OPC fonctionne et que la communication avec tous les appareils en aval fonctionne.</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Les informations de connexion ont été soumises à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La liste de tags complète a été préparée comme décrit dans ce guide et soumise à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Une vue d'ensemble des IWMAC calendrier de supervisions souhaités et des points de données qu'ils doivent écrire a été soumise à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Les heures de fonctionnement doivent être connues si Kiona doit les saisir.</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