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1 – Design and Integration Guide</w:t>
      </w:r>
    </w:p>
    <w:p>
      <w:pPr>
        <w:pStyle w:val="Rubrik2"/>
        <w:spacing w:before="200" w:after="100"/>
      </w:pPr>
      <w:r>
        <w:rPr>
          <w:rFonts w:ascii="Arial" w:hAnsi="Arial" w:cs="Arial"/>
          <w:sz w:val="26"/>
          <w:szCs w:val="26"/>
          <w:b/>
          <w:bCs/>
        </w:rPr>
        <w:t>1.1 – Purpose</w:t>
      </w:r>
    </w:p>
    <w:p>
      <w:pPr>
        <w:spacing w:before="0" w:after="120"/>
      </w:pPr>
      <w:r>
        <w:rPr>
          <w:rFonts w:ascii="Arial" w:hAnsi="Arial" w:cs="Arial"/>
          <w:sz w:val="22"/>
          <w:szCs w:val="22"/>
        </w:rPr>
        <w:t xml:space="preserve">This guide has been prepared to ensure the best possible result from the delivery by </w:t>
      </w:r>
      <w:r>
        <w:rPr>
          <w:rFonts w:ascii="Arial" w:hAnsi="Arial" w:cs="Arial"/>
          <w:sz w:val="22"/>
          <w:szCs w:val="22"/>
          <w:b/>
          <w:bCs/>
        </w:rPr>
        <w:t>Kiona</w:t>
      </w:r>
      <w:r>
        <w:rPr>
          <w:rFonts w:ascii="Arial" w:hAnsi="Arial" w:cs="Arial"/>
          <w:sz w:val="22"/>
          <w:szCs w:val="22"/>
        </w:rPr>
        <w:t xml:space="preserve">. The guide provides information on the supporting documentation required for the automation delivery. The delivery includes the </w:t>
      </w:r>
      <w:r>
        <w:rPr>
          <w:rFonts w:ascii="Arial" w:hAnsi="Arial" w:cs="Arial"/>
          <w:sz w:val="22"/>
          <w:szCs w:val="22"/>
          <w:b/>
          <w:bCs/>
        </w:rPr>
        <w:t>IWMAC</w:t>
      </w:r>
      <w:r>
        <w:rPr>
          <w:rFonts w:ascii="Arial" w:hAnsi="Arial" w:cs="Arial"/>
          <w:sz w:val="22"/>
          <w:szCs w:val="22"/>
        </w:rPr>
        <w:t xml:space="preserve"> top system and associated additional services. The appendices describe the supporting data needed for the delivery, with specific details for certain installation types and protocols.</w:t>
      </w:r>
    </w:p>
    <w:p>
      <w:pPr>
        <w:spacing w:before="0" w:after="120"/>
      </w:pPr>
      <w:r>
        <w:rPr>
          <w:rFonts w:ascii="Arial" w:hAnsi="Arial" w:cs="Arial"/>
          <w:sz w:val="22"/>
          <w:szCs w:val="22"/>
        </w:rPr>
        <w:t xml:space="preserve">All examples and templates are also available on the websites of our </w:t>
      </w:r>
      <w:r>
        <w:rPr>
          <w:rFonts w:ascii="Arial" w:hAnsi="Arial" w:cs="Arial"/>
          <w:sz w:val="22"/>
          <w:szCs w:val="22"/>
          <w:b/>
          <w:bCs/>
        </w:rPr>
        <w:t>Kiona</w:t>
      </w:r>
      <w:r>
        <w:rPr>
          <w:rFonts w:ascii="Arial" w:hAnsi="Arial" w:cs="Arial"/>
          <w:sz w:val="22"/>
          <w:szCs w:val="22"/>
        </w:rPr>
        <w:t>-certified partners.</w:t>
      </w:r>
    </w:p>
    <w:p>
      <w:pPr>
        <w:spacing w:before="0" w:after="120"/>
      </w:pPr>
      <w:r>
        <w:rPr>
          <w:rFonts w:ascii="Arial" w:hAnsi="Arial" w:cs="Arial"/>
          <w:sz w:val="22"/>
          <w:szCs w:val="22"/>
        </w:rPr>
        <w:t xml:space="preserve">If you cannot find a template, please contact your </w:t>
      </w:r>
      <w:r>
        <w:rPr>
          <w:rFonts w:ascii="Arial" w:hAnsi="Arial" w:cs="Arial"/>
          <w:sz w:val="22"/>
          <w:szCs w:val="22"/>
          <w:b/>
          <w:bCs/>
        </w:rPr>
        <w:t>Kiona</w:t>
      </w:r>
      <w:r>
        <w:rPr>
          <w:rFonts w:ascii="Arial" w:hAnsi="Arial" w:cs="Arial"/>
          <w:sz w:val="22"/>
          <w:szCs w:val="22"/>
        </w:rPr>
        <w:t xml:space="preserve"> contact person in Sales or Deliveries.</w:t>
      </w:r>
    </w:p>
    <w:p>
      <w:pPr>
        <w:spacing w:after="0"/>
      </w:pPr>
    </w:p>
    <w:p>
      <w:pPr>
        <w:pStyle w:val="Rubrik2"/>
        <w:spacing w:before="200" w:after="100"/>
      </w:pPr>
      <w:r>
        <w:rPr>
          <w:rFonts w:ascii="Arial" w:hAnsi="Arial" w:cs="Arial"/>
          <w:sz w:val="26"/>
          <w:szCs w:val="26"/>
          <w:b/>
          <w:bCs/>
        </w:rPr>
        <w:t>1.2 – Network/ICT infrastructure</w:t>
      </w:r>
    </w:p>
    <w:p>
      <w:pPr>
        <w:spacing w:before="0" w:after="120"/>
      </w:pPr>
      <w:r>
        <w:rPr>
          <w:rFonts w:ascii="Arial" w:hAnsi="Arial" w:cs="Arial"/>
          <w:sz w:val="22"/>
          <w:szCs w:val="22"/>
        </w:rPr>
        <w:t xml:space="preserve">Once the delivery has been ordered, an installation server will be sent from </w:t>
      </w:r>
      <w:r>
        <w:rPr>
          <w:rFonts w:ascii="Arial" w:hAnsi="Arial" w:cs="Arial"/>
          <w:sz w:val="22"/>
          <w:szCs w:val="22"/>
          <w:b/>
          <w:bCs/>
        </w:rPr>
        <w:t>Kiona</w:t>
      </w:r>
      <w:r>
        <w:rPr>
          <w:rFonts w:ascii="Arial" w:hAnsi="Arial" w:cs="Arial"/>
          <w:sz w:val="22"/>
          <w:szCs w:val="22"/>
        </w:rPr>
        <w:t>. In order for the delivery to start, contact must be made with the dispatched installation server well in advance of the scheduled start-up. Start making the necessary preparations so that the network will be ready in good time.</w:t>
      </w:r>
    </w:p>
    <w:p>
      <w:pPr>
        <w:spacing w:before="0" w:after="120"/>
      </w:pPr>
      <w:r>
        <w:rPr>
          <w:rFonts w:ascii="Arial" w:hAnsi="Arial" w:cs="Arial"/>
          <w:sz w:val="22"/>
          <w:szCs w:val="22"/>
        </w:rPr>
        <w:t xml:space="preserve">It is important that the customer reaches clarification early on with the end customer as to whether the installation server is to communicate with the </w:t>
      </w:r>
      <w:r>
        <w:rPr>
          <w:rFonts w:ascii="Arial" w:hAnsi="Arial" w:cs="Arial"/>
          <w:sz w:val="22"/>
          <w:szCs w:val="22"/>
          <w:b/>
          <w:bCs/>
        </w:rPr>
        <w:t>Kiona</w:t>
      </w:r>
      <w:r>
        <w:rPr>
          <w:rFonts w:ascii="Arial" w:hAnsi="Arial" w:cs="Arial"/>
          <w:sz w:val="22"/>
          <w:szCs w:val="22"/>
        </w:rPr>
        <w:t xml:space="preserve"> cloud over a direct internet connection or VPN. Once </w:t>
      </w:r>
      <w:r>
        <w:rPr>
          <w:rFonts w:ascii="Arial" w:hAnsi="Arial" w:cs="Arial"/>
          <w:sz w:val="22"/>
          <w:szCs w:val="22"/>
          <w:b/>
          <w:bCs/>
        </w:rPr>
        <w:t>Kiona</w:t>
      </w:r>
      <w:r>
        <w:rPr>
          <w:rFonts w:ascii="Arial" w:hAnsi="Arial" w:cs="Arial"/>
          <w:sz w:val="22"/>
          <w:szCs w:val="22"/>
        </w:rPr>
        <w:t xml:space="preserve"> has received the information from the customer, </w:t>
      </w:r>
      <w:r>
        <w:rPr>
          <w:rFonts w:ascii="Arial" w:hAnsi="Arial" w:cs="Arial"/>
          <w:sz w:val="22"/>
          <w:szCs w:val="22"/>
          <w:b/>
          <w:bCs/>
        </w:rPr>
        <w:t>Kiona</w:t>
      </w:r>
      <w:r>
        <w:rPr>
          <w:rFonts w:ascii="Arial" w:hAnsi="Arial" w:cs="Arial"/>
          <w:sz w:val="22"/>
          <w:szCs w:val="22"/>
        </w:rPr>
        <w:t xml:space="preserve"> will order the correct setup from its own network provider.</w:t>
      </w:r>
    </w:p>
    <w:p>
      <w:pPr>
        <w:spacing w:before="0" w:after="120"/>
      </w:pPr>
      <w:r>
        <w:rPr>
          <w:rFonts w:ascii="Arial" w:hAnsi="Arial" w:cs="Arial"/>
          <w:sz w:val="22"/>
          <w:szCs w:val="22"/>
        </w:rPr>
        <w:t xml:space="preserve">Once delivery commences, you will receive a standard form for internet connection and VPN connection outlining the information </w:t>
      </w:r>
      <w:r>
        <w:rPr>
          <w:rFonts w:ascii="Arial" w:hAnsi="Arial" w:cs="Arial"/>
          <w:sz w:val="22"/>
          <w:szCs w:val="22"/>
          <w:b/>
          <w:bCs/>
        </w:rPr>
        <w:t>Kiona</w:t>
      </w:r>
      <w:r>
        <w:rPr>
          <w:rFonts w:ascii="Arial" w:hAnsi="Arial" w:cs="Arial"/>
          <w:sz w:val="22"/>
          <w:szCs w:val="22"/>
        </w:rPr>
        <w:t xml:space="preserve"> needs, as well as the configuration the end customer must undertake in order for the installation server to come online. </w:t>
      </w:r>
      <w:r>
        <w:rPr>
          <w:rFonts w:ascii="Arial" w:hAnsi="Arial" w:cs="Arial"/>
          <w:sz w:val="22"/>
          <w:szCs w:val="22"/>
          <w:b/>
          <w:bCs/>
        </w:rPr>
        <w:t>Kiona</w:t>
      </w:r>
      <w:r>
        <w:rPr>
          <w:rFonts w:ascii="Arial" w:hAnsi="Arial" w:cs="Arial"/>
          <w:sz w:val="22"/>
          <w:szCs w:val="22"/>
        </w:rPr>
        <w:t xml:space="preserve"> will not be able to start work until the forms have been returned and the described settings have been verified.</w:t>
      </w:r>
    </w:p>
    <w:p>
      <w:pPr>
        <w:spacing w:before="0" w:after="120"/>
      </w:pPr>
      <w:r>
        <w:rPr>
          <w:rFonts w:ascii="Arial" w:hAnsi="Arial" w:cs="Arial"/>
          <w:sz w:val="22"/>
          <w:szCs w:val="22"/>
        </w:rPr>
        <w:t xml:space="preserve">An installation server comes supplied with two network cards. </w:t>
      </w:r>
      <w:r>
        <w:rPr>
          <w:rFonts w:ascii="Arial" w:hAnsi="Arial" w:cs="Arial"/>
          <w:sz w:val="22"/>
          <w:szCs w:val="22"/>
          <w:b/>
          <w:bCs/>
        </w:rPr>
        <w:t>Kiona</w:t>
      </w:r>
      <w:r>
        <w:rPr>
          <w:rFonts w:ascii="Arial" w:hAnsi="Arial" w:cs="Arial"/>
          <w:sz w:val="22"/>
          <w:szCs w:val="22"/>
        </w:rPr>
        <w:t xml:space="preserve"> must be assigned two network connections – this is important information the customer must obtain. It is recommended that one interface is reserved for internet connection and is separate from the technical network. The second interface is connected to the technical network.</w:t>
      </w:r>
    </w:p>
    <w:p>
      <w:pPr>
        <w:spacing w:before="0" w:after="120"/>
      </w:pPr>
      <w:r>
        <w:rPr>
          <w:rFonts w:ascii="Arial" w:hAnsi="Arial" w:cs="Arial"/>
          <w:sz w:val="22"/>
          <w:szCs w:val="22"/>
        </w:rPr>
        <w:t xml:space="preserve">Converters provided by </w:t>
      </w:r>
      <w:r>
        <w:rPr>
          <w:rFonts w:ascii="Arial" w:hAnsi="Arial" w:cs="Arial"/>
          <w:sz w:val="22"/>
          <w:szCs w:val="22"/>
          <w:b/>
          <w:bCs/>
        </w:rPr>
        <w:t>Kiona</w:t>
      </w:r>
      <w:r>
        <w:rPr>
          <w:rFonts w:ascii="Arial" w:hAnsi="Arial" w:cs="Arial"/>
          <w:sz w:val="22"/>
          <w:szCs w:val="22"/>
        </w:rPr>
        <w:t xml:space="preserve"> will be configured as part of the delivery once the necessary information has been handed over. For converters not provided by </w:t>
      </w:r>
      <w:r>
        <w:rPr>
          <w:rFonts w:ascii="Arial" w:hAnsi="Arial" w:cs="Arial"/>
          <w:sz w:val="22"/>
          <w:szCs w:val="22"/>
          <w:b/>
          <w:bCs/>
        </w:rPr>
        <w:t>Kiona</w:t>
      </w:r>
      <w:r>
        <w:rPr>
          <w:rFonts w:ascii="Arial" w:hAnsi="Arial" w:cs="Arial"/>
          <w:sz w:val="22"/>
          <w:szCs w:val="22"/>
        </w:rPr>
        <w:t xml:space="preserve">, </w:t>
      </w:r>
      <w:r>
        <w:rPr>
          <w:rFonts w:ascii="Arial" w:hAnsi="Arial" w:cs="Arial"/>
          <w:sz w:val="22"/>
          <w:szCs w:val="22"/>
          <w:b/>
          <w:bCs/>
        </w:rPr>
        <w:t>Kiona</w:t>
      </w:r>
      <w:r>
        <w:rPr>
          <w:rFonts w:ascii="Arial" w:hAnsi="Arial" w:cs="Arial"/>
          <w:sz w:val="22"/>
          <w:szCs w:val="22"/>
        </w:rPr>
        <w:t xml:space="preserve"> can assist in configuring and installing these on the installation PC. However, this service is not included in the delivery and will be handled as an additional option.</w:t>
      </w:r>
    </w:p>
    <w:p>
      <w:pPr>
        <w:spacing w:after="0"/>
      </w:pPr>
    </w:p>
    <w:p>
      <w:pPr>
        <w:pStyle w:val="Rubrik2"/>
        <w:spacing w:before="200" w:after="100"/>
      </w:pPr>
      <w:r>
        <w:rPr>
          <w:rFonts w:ascii="Arial" w:hAnsi="Arial" w:cs="Arial"/>
          <w:sz w:val="26"/>
          <w:szCs w:val="26"/>
          <w:b/>
          <w:bCs/>
        </w:rPr>
        <w:t>1.3 – Topology</w:t>
      </w:r>
    </w:p>
    <w:p>
      <w:pPr>
        <w:spacing w:before="0" w:after="120"/>
      </w:pPr>
      <w:r>
        <w:rPr>
          <w:rFonts w:ascii="Arial" w:hAnsi="Arial" w:cs="Arial"/>
          <w:sz w:val="22"/>
          <w:szCs w:val="22"/>
        </w:rPr>
        <w:t xml:space="preserve">In order to establish a communication connection with all automation devices, </w:t>
      </w:r>
      <w:r>
        <w:rPr>
          <w:rFonts w:ascii="Arial" w:hAnsi="Arial" w:cs="Arial"/>
          <w:sz w:val="22"/>
          <w:szCs w:val="22"/>
          <w:b/>
          <w:bCs/>
        </w:rPr>
        <w:t>Kiona</w:t>
      </w:r>
      <w:r>
        <w:rPr>
          <w:rFonts w:ascii="Arial" w:hAnsi="Arial" w:cs="Arial"/>
          <w:sz w:val="22"/>
          <w:szCs w:val="22"/>
        </w:rPr>
        <w:t xml:space="preserve"> needs a complete topology listing all necessary network information. </w:t>
      </w:r>
      <w:r>
        <w:rPr>
          <w:rFonts w:ascii="Arial" w:hAnsi="Arial" w:cs="Arial"/>
          <w:sz w:val="22"/>
          <w:szCs w:val="22"/>
          <w:b/>
          <w:bCs/>
        </w:rPr>
        <w:t>Kiona</w:t>
      </w:r>
      <w:r>
        <w:rPr>
          <w:rFonts w:ascii="Arial" w:hAnsi="Arial" w:cs="Arial"/>
          <w:sz w:val="22"/>
          <w:szCs w:val="22"/>
        </w:rPr>
        <w:t xml:space="preserve"> relies on receiving all information about serial-to-network converters, with an associated overview of which automation devices are connected to the various ports.</w:t>
      </w:r>
    </w:p>
    <w:p>
      <w:pPr>
        <w:spacing w:before="0" w:after="120"/>
      </w:pPr>
      <w:r>
        <w:rPr>
          <w:rFonts w:ascii="Arial" w:hAnsi="Arial" w:cs="Arial"/>
          <w:sz w:val="22"/>
          <w:szCs w:val="22"/>
        </w:rPr>
        <w:t>See the following examples:</w:t>
      </w:r>
    </w:p>
    <w:p>
      <w:pPr>
        <w:pStyle w:val="Liststycke"/>
        <w:numPr>
          <w:ilvl w:val="0"/>
          <w:numId w:val="1"/>
        </w:numPr>
        <w:spacing w:after="80"/>
      </w:pPr>
      <w:r>
        <w:rPr>
          <w:rFonts w:ascii="Arial" w:hAnsi="Arial" w:cs="Arial"/>
          <w:sz w:val="22"/>
          <w:szCs w:val="22"/>
        </w:rPr>
        <w:t>Graphics: topology in PNG format, produced in Gliffy or similar software</w:t>
      </w:r>
    </w:p>
    <w:p>
      <w:pPr>
        <w:pStyle w:val="Liststycke"/>
        <w:numPr>
          <w:ilvl w:val="0"/>
          <w:numId w:val="1"/>
        </w:numPr>
        <w:spacing w:after="80"/>
      </w:pPr>
      <w:r>
        <w:rPr>
          <w:rFonts w:ascii="Arial" w:hAnsi="Arial" w:cs="Arial"/>
          <w:sz w:val="22"/>
          <w:szCs w:val="22"/>
          <w:i/>
        </w:rPr>
        <w:t>IWMAC TEMPLATE 12 – Topology.png</w:t>
      </w:r>
    </w:p>
    <w:p>
      <w:pPr>
        <w:pStyle w:val="Liststycke"/>
        <w:numPr>
          <w:ilvl w:val="0"/>
          <w:numId w:val="1"/>
        </w:numPr>
        <w:spacing w:after="80"/>
      </w:pPr>
      <w:r>
        <w:rPr>
          <w:rFonts w:ascii="Arial" w:hAnsi="Arial" w:cs="Arial"/>
          <w:sz w:val="22"/>
          <w:szCs w:val="22"/>
          <w:i/>
        </w:rPr>
        <w:t>IWMAC TEMPLATE 13 – Topology.gliffy</w:t>
      </w:r>
    </w:p>
    <w:p>
      <w:pPr>
        <w:pStyle w:val="Liststycke"/>
        <w:numPr>
          <w:ilvl w:val="0"/>
          <w:numId w:val="1"/>
        </w:numPr>
        <w:spacing w:after="80"/>
      </w:pPr>
      <w:r>
        <w:rPr>
          <w:rFonts w:ascii="Arial" w:hAnsi="Arial" w:cs="Arial"/>
          <w:sz w:val="22"/>
          <w:szCs w:val="22"/>
        </w:rPr>
        <w:t>Excel: simple template for devices on IP, advanced template for devices on IP and serial devices via converters</w:t>
      </w:r>
    </w:p>
    <w:p>
      <w:pPr>
        <w:pStyle w:val="Liststycke"/>
        <w:numPr>
          <w:ilvl w:val="0"/>
          <w:numId w:val="1"/>
        </w:numPr>
        <w:spacing w:after="80"/>
      </w:pPr>
      <w:r>
        <w:rPr>
          <w:rFonts w:ascii="Arial" w:hAnsi="Arial" w:cs="Arial"/>
          <w:sz w:val="22"/>
          <w:szCs w:val="22"/>
          <w:i/>
        </w:rPr>
        <w:t>IWMAC TEMPLATE 11 – Topology IP and serial converters.xltx</w:t>
      </w:r>
    </w:p>
    <w:p>
      <w:pPr>
        <w:spacing w:after="0"/>
      </w:pPr>
    </w:p>
    <w:p>
      <w:pPr>
        <w:pStyle w:val="Rubrik2"/>
        <w:spacing w:before="200" w:after="100"/>
      </w:pPr>
      <w:r>
        <w:rPr>
          <w:rFonts w:ascii="Arial" w:hAnsi="Arial" w:cs="Arial"/>
          <w:sz w:val="26"/>
          <w:szCs w:val="26"/>
          <w:b/>
          <w:bCs/>
        </w:rPr>
        <w:t>1.4 – Parameter lists, tag names and descriptions</w:t>
      </w:r>
    </w:p>
    <w:p>
      <w:pPr>
        <w:spacing w:before="0" w:after="120"/>
      </w:pPr>
      <w:r>
        <w:rPr>
          <w:rFonts w:ascii="Arial" w:hAnsi="Arial" w:cs="Arial"/>
          <w:sz w:val="22"/>
          <w:szCs w:val="22"/>
        </w:rPr>
        <w:t>IWMAC</w:t>
      </w:r>
      <w:r>
        <w:rPr>
          <w:rFonts w:ascii="Arial" w:hAnsi="Arial" w:cs="Arial"/>
          <w:sz w:val="22"/>
          <w:szCs w:val="22"/>
        </w:rPr>
        <w:t xml:space="preserve"> uses names and descriptions received in the supporting documentation from the customer. In certain cases this can be read by scanners directly from the equipment. For </w:t>
      </w:r>
      <w:r>
        <w:rPr>
          <w:rFonts w:ascii="Arial" w:hAnsi="Arial" w:cs="Arial"/>
          <w:sz w:val="22"/>
          <w:szCs w:val="22"/>
          <w:b/>
          <w:bCs/>
        </w:rPr>
        <w:t>Kiona</w:t>
      </w:r>
      <w:r>
        <w:rPr>
          <w:rFonts w:ascii="Arial" w:hAnsi="Arial" w:cs="Arial"/>
          <w:sz w:val="22"/>
          <w:szCs w:val="22"/>
        </w:rPr>
        <w:t xml:space="preserve"> to be able to provide end users with readable and localisable tag names, the data lists must contain the necessary information and a structure that allows </w:t>
      </w:r>
      <w:r>
        <w:rPr>
          <w:rFonts w:ascii="Arial" w:hAnsi="Arial" w:cs="Arial"/>
          <w:sz w:val="22"/>
          <w:szCs w:val="22"/>
          <w:b/>
          <w:bCs/>
        </w:rPr>
        <w:t>Kiona</w:t>
      </w:r>
      <w:r>
        <w:rPr>
          <w:rFonts w:ascii="Arial" w:hAnsi="Arial" w:cs="Arial"/>
          <w:sz w:val="22"/>
          <w:szCs w:val="22"/>
        </w:rPr>
        <w:t xml:space="preserve"> to properly construct the tag databases.</w:t>
      </w:r>
    </w:p>
    <w:p>
      <w:pPr>
        <w:spacing w:before="0" w:after="120"/>
      </w:pPr>
      <w:r>
        <w:rPr>
          <w:rFonts w:ascii="Arial" w:hAnsi="Arial" w:cs="Arial"/>
          <w:sz w:val="22"/>
          <w:szCs w:val="22"/>
        </w:rPr>
        <w:t>Here are some general guidelines:</w:t>
      </w:r>
    </w:p>
    <w:p>
      <w:pPr>
        <w:pStyle w:val="Liststycke"/>
        <w:numPr>
          <w:ilvl w:val="0"/>
          <w:numId w:val="1"/>
        </w:numPr>
        <w:spacing w:after="80"/>
      </w:pPr>
      <w:r>
        <w:rPr>
          <w:rFonts w:ascii="Arial" w:hAnsi="Arial" w:cs="Arial"/>
          <w:sz w:val="22"/>
          <w:szCs w:val="22"/>
        </w:rPr>
        <w:t>Kiona assumes that a system number and cross-disciplinary labelling system (TFM) component code are entered for each parameter/tag line, as well as a simple parameter description, either by physical component or by function.</w:t>
      </w:r>
    </w:p>
    <w:p>
      <w:pPr>
        <w:pStyle w:val="Liststycke"/>
        <w:numPr>
          <w:ilvl w:val="0"/>
          <w:numId w:val="1"/>
        </w:numPr>
        <w:spacing w:after="80"/>
      </w:pPr>
      <w:r>
        <w:rPr>
          <w:rFonts w:ascii="Arial" w:hAnsi="Arial" w:cs="Arial"/>
          <w:sz w:val="22"/>
          <w:szCs w:val="22"/>
        </w:rPr>
        <w:t>For room control, it must be possible to separate each room, floor and, if necessary, building or wing.</w:t>
      </w:r>
    </w:p>
    <w:p>
      <w:pPr>
        <w:pStyle w:val="Liststycke"/>
        <w:numPr>
          <w:ilvl w:val="0"/>
          <w:numId w:val="1"/>
        </w:numPr>
        <w:spacing w:after="80"/>
      </w:pPr>
      <w:r>
        <w:rPr>
          <w:rFonts w:ascii="Arial" w:hAnsi="Arial" w:cs="Arial"/>
          <w:sz w:val="22"/>
          <w:szCs w:val="22"/>
        </w:rPr>
        <w:t>All similar functions within each room must be given the same function code.</w:t>
      </w:r>
    </w:p>
    <w:p>
      <w:pPr>
        <w:pStyle w:val="Liststycke"/>
        <w:numPr>
          <w:ilvl w:val="0"/>
          <w:numId w:val="1"/>
        </w:numPr>
        <w:spacing w:after="80"/>
      </w:pPr>
      <w:r>
        <w:rPr>
          <w:rFonts w:ascii="Arial" w:hAnsi="Arial" w:cs="Arial"/>
          <w:sz w:val="22"/>
          <w:szCs w:val="22"/>
        </w:rPr>
        <w:t>For higher-level central components and zone-delimited functions, zone/group assignment must be indicated for each parameter line.</w:t>
      </w:r>
    </w:p>
    <w:p>
      <w:pPr>
        <w:pStyle w:val="Liststycke"/>
        <w:numPr>
          <w:ilvl w:val="0"/>
          <w:numId w:val="1"/>
        </w:numPr>
        <w:spacing w:after="80"/>
      </w:pPr>
      <w:r>
        <w:rPr>
          <w:rFonts w:ascii="Arial" w:hAnsi="Arial" w:cs="Arial"/>
          <w:sz w:val="22"/>
          <w:szCs w:val="22"/>
        </w:rPr>
        <w:t>For lists dealing with a device that serves only one system number, the system number can be omitted.</w:t>
      </w:r>
    </w:p>
    <w:p>
      <w:pPr>
        <w:spacing w:before="0" w:after="120"/>
      </w:pPr>
      <w:r>
        <w:rPr>
          <w:rFonts w:ascii="Arial" w:hAnsi="Arial" w:cs="Arial"/>
          <w:sz w:val="22"/>
          <w:szCs w:val="22"/>
        </w:rPr>
        <w:t xml:space="preserve">The </w:t>
      </w:r>
      <w:r>
        <w:rPr>
          <w:rFonts w:ascii="Arial" w:hAnsi="Arial" w:cs="Arial"/>
          <w:sz w:val="22"/>
          <w:szCs w:val="22"/>
          <w:b/>
          <w:bCs/>
        </w:rPr>
        <w:t>IWMAC</w:t>
      </w:r>
      <w:r>
        <w:rPr>
          <w:rFonts w:ascii="Arial" w:hAnsi="Arial" w:cs="Arial"/>
          <w:sz w:val="22"/>
          <w:szCs w:val="22"/>
        </w:rPr>
        <w:t xml:space="preserve"> component code standard will be used in images unless otherwise agreed, or if component codes are not in the tag list or associated system schedule. All supporting data must be consistent in character encoding so that </w:t>
      </w:r>
      <w:r>
        <w:rPr>
          <w:rFonts w:ascii="Arial" w:hAnsi="Arial" w:cs="Arial"/>
          <w:sz w:val="22"/>
          <w:szCs w:val="22"/>
          <w:b/>
          <w:bCs/>
        </w:rPr>
        <w:t>Kiona</w:t>
      </w:r>
      <w:r>
        <w:rPr>
          <w:rFonts w:ascii="Arial" w:hAnsi="Arial" w:cs="Arial"/>
          <w:sz w:val="22"/>
          <w:szCs w:val="22"/>
        </w:rPr>
        <w:t xml:space="preserve"> can identify component assignments.</w:t>
      </w:r>
    </w:p>
    <w:p>
      <w:pPr>
        <w:spacing w:after="0"/>
      </w:pPr>
    </w:p>
    <w:p>
      <w:pPr>
        <w:pStyle w:val="Normal"/>
      </w:pPr>
      <w:r>
        <w:t xml:space="preserve">For BACnet objects, TFM encoding can often be included within the object name itself, while the description is appended in the “description” attribute. Other structuring is also possible as long as the tag contains all the necessary information and structure, as previously described.</w:t>
      </w:r>
    </w:p>
    <w:p>
      <w:pPr>
        <w:pStyle w:val="Normal"/>
      </w:pPr>
      <w:r>
        <w:t xml:space="preserve">In Modbus, KNX, OPC, N2 and corresponding tag lists, typically both the TFM encoding and description can be part of one and the same text. It is then important that the structure is the same for all lines, with the system component function code in a fixed order – with fixed delimiters first and with the description at the end.</w:t>
      </w:r>
    </w:p>
    <w:p>
      <w:pPr>
        <w:pStyle w:val="ListParagraph"/>
      </w:pPr>
      <w:r>
        <w:t xml:space="preserve">R201_SQ501_spjv – Exhaust VAV1 damper angle</w:t>
      </w:r>
    </w:p>
    <w:p>
      <w:pPr>
        <w:pStyle w:val="ListParagraph"/>
      </w:pPr>
      <w:r>
        <w:t xml:space="preserve">R201_SQ402_lm – Supply air VAV2 airflow</w:t>
      </w:r>
    </w:p>
    <w:p>
      <w:pPr>
        <w:pStyle w:val="ListParagraph"/>
      </w:pPr>
      <w:r>
        <w:t xml:space="preserve">R201_SQ401_lm – Supply air VAV1 airflow</w:t>
      </w:r>
    </w:p>
    <w:p>
      <w:pPr>
        <w:pStyle w:val="ListParagraph"/>
      </w:pPr>
      <w:r>
        <w:t xml:space="preserve">R201_HVlv – Application of heat</w:t>
      </w:r>
    </w:p>
    <w:p>
      <w:pPr>
        <w:pStyle w:val="ListParagraph"/>
      </w:pPr>
      <w:r>
        <w:t xml:space="preserve">R201_BasSetp – Base set point</w:t>
      </w:r>
    </w:p>
    <w:p>
      <w:pPr>
        <w:pStyle w:val="ListParagraph"/>
      </w:pPr>
      <w:r>
        <w:t xml:space="preserve">R201_Erverdi – Room temperature</w:t>
      </w:r>
    </w:p>
    <w:p>
      <w:pPr>
        <w:pStyle w:val="Heading3"/>
      </w:pPr>
      <w:r>
        <w:t xml:space="preserve">Example for rooms:</w:t>
      </w:r>
    </w:p>
    <w:p>
      <w:pPr>
        <w:pStyle w:val="ListParagraph"/>
      </w:pPr>
      <w:r>
        <w:t xml:space="preserve">360.001 RT401 Calculated set point  or  building_no._360001_RT401_ASP working set point</w:t>
      </w:r>
    </w:p>
    <w:p>
      <w:pPr>
        <w:pStyle w:val="ListParagraph"/>
      </w:pPr>
      <w:r>
        <w:t xml:space="preserve">360.001 RT401 Supply air temperature  or  building_no._360001_RT401_PV Supply air temperature</w:t>
      </w:r>
    </w:p>
    <w:p>
      <w:pPr>
        <w:pStyle w:val="Heading3"/>
      </w:pPr>
      <w:r>
        <w:t xml:space="preserve">Example for temperature sensor (process value) and parameter for calculated set point:</w:t>
      </w:r>
    </w:p>
    <w:p>
      <w:pPr>
        <w:pStyle w:val="Normal"/>
      </w:pPr>
      <w:r>
        <w:t xml:space="preserve">The Kiona component code standard will be used in images unless otherwise agreed, or if component codes are not in the tag list or associated system schedule. All supporting data must be consistent in character encoding in order for Kiona to identify assignment of the components.</w:t>
      </w:r>
    </w:p>
    <w:p>
      <w:pPr>
        <w:pStyle w:val="Rubrik2"/>
        <w:spacing w:before="200" w:after="100"/>
      </w:pPr>
      <w:r>
        <w:rPr>
          <w:rFonts w:ascii="Arial" w:hAnsi="Arial" w:cs="Arial"/>
          <w:sz w:val="26"/>
          <w:szCs w:val="26"/>
          <w:b/>
          <w:bCs/>
        </w:rPr>
        <w:t>1.5 – Parameter lists, alarm functionality and write privileges</w:t>
      </w:r>
    </w:p>
    <w:p>
      <w:pPr>
        <w:spacing w:before="0" w:after="120"/>
      </w:pPr>
      <w:r>
        <w:rPr>
          <w:rFonts w:ascii="Arial" w:hAnsi="Arial" w:cs="Arial"/>
          <w:sz w:val="22"/>
          <w:szCs w:val="22"/>
          <w:b/>
          <w:bCs/>
        </w:rPr>
        <w:t>Kiona</w:t>
      </w:r>
      <w:r>
        <w:rPr>
          <w:rFonts w:ascii="Arial" w:hAnsi="Arial" w:cs="Arial"/>
          <w:sz w:val="22"/>
          <w:szCs w:val="22"/>
        </w:rPr>
        <w:t xml:space="preserve"> must specify directly in the tag database which items are readable and/or writable. The same applies to alarm level indication for points intended to generate an alarm.</w:t>
      </w:r>
    </w:p>
    <w:p>
      <w:pPr>
        <w:spacing w:before="0" w:after="120"/>
      </w:pPr>
      <w:r>
        <w:rPr>
          <w:rFonts w:ascii="Arial" w:hAnsi="Arial" w:cs="Arial"/>
          <w:sz w:val="22"/>
          <w:szCs w:val="22"/>
        </w:rPr>
        <w:t>IWMAC</w:t>
      </w:r>
      <w:r>
        <w:rPr>
          <w:rFonts w:ascii="Arial" w:hAnsi="Arial" w:cs="Arial"/>
          <w:sz w:val="22"/>
          <w:szCs w:val="22"/>
        </w:rPr>
        <w:t xml:space="preserve"> normally only requires digital alarms in the database. If the customer wants to generate alarms on multistate (integer) or floating point values, clarification is required with </w:t>
      </w:r>
      <w:r>
        <w:rPr>
          <w:rFonts w:ascii="Arial" w:hAnsi="Arial" w:cs="Arial"/>
          <w:sz w:val="22"/>
          <w:szCs w:val="22"/>
          <w:b/>
          <w:bCs/>
        </w:rPr>
        <w:t>Kiona</w:t>
      </w:r>
      <w:r>
        <w:rPr>
          <w:rFonts w:ascii="Arial" w:hAnsi="Arial" w:cs="Arial"/>
          <w:sz w:val="22"/>
          <w:szCs w:val="22"/>
        </w:rPr>
        <w:t>'s delivery manager as to whether this is possible and what consequences it may have in terms of additional time needed, smart functions required, etc.</w:t>
      </w:r>
    </w:p>
    <w:p>
      <w:pPr>
        <w:spacing w:before="0" w:after="120"/>
      </w:pPr>
      <w:r>
        <w:rPr>
          <w:rFonts w:ascii="Arial" w:hAnsi="Arial" w:cs="Arial"/>
          <w:sz w:val="22"/>
          <w:szCs w:val="22"/>
        </w:rPr>
        <w:t xml:space="preserve">See the specific protocol appendix for an outline of the information </w:t>
      </w:r>
      <w:r>
        <w:rPr>
          <w:rFonts w:ascii="Arial" w:hAnsi="Arial" w:cs="Arial"/>
          <w:sz w:val="22"/>
          <w:szCs w:val="22"/>
          <w:b/>
          <w:bCs/>
        </w:rPr>
        <w:t>Kiona</w:t>
      </w:r>
      <w:r>
        <w:rPr>
          <w:rFonts w:ascii="Arial" w:hAnsi="Arial" w:cs="Arial"/>
          <w:sz w:val="22"/>
          <w:szCs w:val="22"/>
        </w:rPr>
        <w:t xml:space="preserve"> requires regarding whether points are to be writable or define alarm points, plus their associated alarm level.</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 Checklists</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2.1 – IWMAC Checklist – BACnet.docx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2.2 – IWMAC Checklist – Modbus.docx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2.3 – IWMAC Checklist – N2-Open.docx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2.4 – IWMAC Checklist – KNX.docx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2.5 – IWMAC Checklist – OPC.docx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3.1 – IWMAC Checklist – Ventilation.docx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3.2 – IWMAC Checklist – Heating and Cooling Systems.docx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3.3 – IWMAC Checklist – Room Control.docx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3.4 – IWMAC Checklist – Technical and Electrical.docx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3.5 – IWMAC Checklist – Energy Report.docx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3.6 – IWMAC Checklist – EOS (Energy Monitoring System).docx</w:t>
            </w:r>
          </w:p>
        </w:tc>
      </w:tr>
    </w:tbl>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9360"/>
      </w:tblGrid>
      <w:tr>
        <w:tc>
          <w:tcPr>
            <w:tcW w:w="9360" w:type="dxa"/>
            <w:shd w:val="clear" w:fill="5A2490"/>
            <w:tcMar>
              <w:top w:w="80" w:type="dxa"/>
              <w:left w:w="120" w:type="dxa"/>
              <w:bottom w:w="80" w:type="dxa"/>
              <w:right w:w="120" w:type="dxa"/>
            </w:tcMar>
          </w:tcPr>
          <w:p>
            <w:pPr>
              <w:spacing w:after="0"/>
            </w:pPr>
            <w:r>
              <w:rPr>
                <w:rFonts w:ascii="Arial" w:hAnsi="Arial" w:cs="Arial"/>
                <w:sz w:val="20"/>
                <w:szCs w:val="20"/>
                <w:b/>
                <w:bCs/>
                <w:color w:val="FFFFFF"/>
              </w:rPr>
              <w:t>IWMAC Templates</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01 – Energy report.xltx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02 – Technical signals.xltx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03 – BACnet EDE.csv</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04 – BACnet StateTexts.csv</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05 – DX9100.xltx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06 – EOS.xltx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07 – FX15.xltx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08 – Modbus.xltx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09 – Room list.xltx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10 – Simple topology, IP only.xltx</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11 – Topology IP and serial converters.xltx</w:t>
            </w:r>
          </w:p>
        </w:tc>
      </w:tr>
      <w:tr>
        <w:tc>
          <w:tcPr>
            <w:tcW w:w="9360" w:type="dxa"/>
            <w:shd w:val="clear" w:fill="FFFFFF"/>
            <w:tcMar>
              <w:top w:w="80" w:type="dxa"/>
              <w:left w:w="120" w:type="dxa"/>
              <w:bottom w:w="80" w:type="dxa"/>
              <w:right w:w="120" w:type="dxa"/>
            </w:tcMar>
          </w:tcPr>
          <w:p>
            <w:pPr>
              <w:spacing w:after="0"/>
            </w:pPr>
            <w:r>
              <w:rPr>
                <w:rFonts w:ascii="Arial" w:hAnsi="Arial" w:cs="Arial"/>
                <w:sz w:val="20"/>
                <w:szCs w:val="20"/>
                <w:color w:val="000000"/>
              </w:rPr>
              <w:t>IWMAC TEMPLATE 12 – Topology.png</w:t>
            </w:r>
          </w:p>
        </w:tc>
      </w:tr>
      <w:tr>
        <w:tc>
          <w:tcPr>
            <w:tcW w:w="9360" w:type="dxa"/>
            <w:shd w:val="clear" w:fill="F2EBF9"/>
            <w:tcMar>
              <w:top w:w="80" w:type="dxa"/>
              <w:left w:w="120" w:type="dxa"/>
              <w:bottom w:w="80" w:type="dxa"/>
              <w:right w:w="120" w:type="dxa"/>
            </w:tcMar>
          </w:tcPr>
          <w:p>
            <w:pPr>
              <w:spacing w:after="0"/>
            </w:pPr>
            <w:r>
              <w:rPr>
                <w:rFonts w:ascii="Arial" w:hAnsi="Arial" w:cs="Arial"/>
                <w:sz w:val="20"/>
                <w:szCs w:val="20"/>
                <w:color w:val="000000"/>
              </w:rPr>
              <w:t>IWMAC TEMPLATE 13 – Topology (gliffy)</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