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2.1 IWMAC Checklist – BACnet</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integrate a device into </w:t>
      </w:r>
      <w:r>
        <w:rPr>
          <w:rFonts w:ascii="Arial" w:hAnsi="Arial" w:cs="Arial"/>
          <w:sz w:val="22"/>
          <w:szCs w:val="22"/>
          <w:b/>
          <w:bCs/>
        </w:rPr>
        <w:t>IWMAC</w:t>
      </w:r>
      <w:r>
        <w:rPr>
          <w:rFonts w:ascii="Arial" w:hAnsi="Arial" w:cs="Arial"/>
          <w:sz w:val="22"/>
          <w:szCs w:val="22"/>
        </w:rPr>
        <w:t xml:space="preserve"> over BACnet/IP, some information is needed to ensure everything functions as it should.</w:t>
      </w:r>
    </w:p>
    <w:p>
      <w:pPr>
        <w:spacing w:before="0" w:after="120"/>
      </w:pPr>
      <w:r>
        <w:rPr>
          <w:rFonts w:ascii="Arial" w:hAnsi="Arial" w:cs="Arial"/>
          <w:sz w:val="22"/>
          <w:szCs w:val="22"/>
        </w:rPr>
        <w:t>The device(s) must also be able to be scanned, i.e. respond to "Who-is" from the subnet to which the IWMAC PC is connected.</w:t>
      </w:r>
    </w:p>
    <w:p>
      <w:pPr>
        <w:spacing w:before="0" w:after="120"/>
      </w:pPr>
      <w:r>
        <w:rPr>
          <w:rFonts w:ascii="Arial" w:hAnsi="Arial" w:cs="Arial"/>
          <w:sz w:val="22"/>
          <w:szCs w:val="22"/>
        </w:rPr>
        <w:t xml:space="preserve">In larger networks divided into multiple subnets or spanning the internet, the customer must ensure that the IT infrastructure and BACnet substations are configured so that the substation is searchable. </w:t>
      </w:r>
      <w:r>
        <w:rPr>
          <w:rFonts w:ascii="Arial" w:hAnsi="Arial" w:cs="Arial"/>
          <w:sz w:val="22"/>
          <w:szCs w:val="22"/>
          <w:b/>
          <w:bCs/>
        </w:rPr>
        <w:t>Kiona</w:t>
      </w:r>
      <w:r>
        <w:rPr>
          <w:rFonts w:ascii="Arial" w:hAnsi="Arial" w:cs="Arial"/>
          <w:sz w:val="22"/>
          <w:szCs w:val="22"/>
        </w:rPr>
        <w:t xml:space="preserve"> needs a topology showing all substations with IP address, network mask, gateway address, network number and device ID, as well as the identity of the BBMD – plus the FDT/BDT table entries in these.</w:t>
      </w:r>
    </w:p>
    <w:p>
      <w:pPr>
        <w:spacing w:before="0" w:after="120"/>
      </w:pPr>
      <w:r>
        <w:rPr>
          <w:rFonts w:ascii="Arial" w:hAnsi="Arial" w:cs="Arial"/>
          <w:sz w:val="22"/>
          <w:szCs w:val="22"/>
        </w:rPr>
        <w:t>A BACnet MS/TP device must be connected to a BACnet/IP router so that it is searchable on the IP network.</w:t>
      </w:r>
    </w:p>
    <w:p>
      <w:pPr>
        <w:spacing w:before="0" w:after="120"/>
      </w:pPr>
      <w:r>
        <w:rPr>
          <w:rFonts w:ascii="Arial" w:hAnsi="Arial" w:cs="Arial"/>
          <w:sz w:val="22"/>
          <w:szCs w:val="22"/>
          <w:b/>
          <w:bCs/>
        </w:rPr>
        <w:t>Kiona</w:t>
      </w:r>
      <w:r>
        <w:rPr>
          <w:rFonts w:ascii="Arial" w:hAnsi="Arial" w:cs="Arial"/>
          <w:sz w:val="22"/>
          <w:szCs w:val="22"/>
        </w:rPr>
        <w:t xml:space="preserve"> must be informed per device of the write priority to be used if other than 16, which is the lowest priority.</w:t>
      </w:r>
    </w:p>
    <w:p>
      <w:pPr>
        <w:spacing w:before="0" w:after="120"/>
      </w:pPr>
      <w:r>
        <w:rPr>
          <w:rFonts w:ascii="Arial" w:hAnsi="Arial" w:cs="Arial"/>
          <w:sz w:val="22"/>
          <w:szCs w:val="22"/>
        </w:rPr>
        <w:t>The checklist below applies to each PLC/substation/controller.</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 – BACnet device integration</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Device:____________________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The device has been fully commissioned and function tested.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The device can be pinged from an IWMAC PC.</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Extra columns have been added to the end of the EDE (Engineering Data Exchange) file.</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Alarm Pri, Include Attri., Group, Room – see example template for EDE file: IWMAC TEMPLATE 03 – BACnet EDE.csv</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The "settable" column has been adjusted so that all points to be writable in IWMAC are "Y"; everything else is set to "N".</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Writable points are normally setpoints, selector switches and similar.</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All points with intrinsic reporting and alarm state enabled are set to "1" in the additional column "Include Attri.".</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 separate list has been created of the attributes to be submitted for the data points.</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For all objects where "Include Attri." is set to "1".</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Each parameter and line in the EDE file must contain a system number, component/labelling and explanatory text.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Example: "320.001 RT401 Flow temperature radiator circuit A block".</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If the system number does not appear above, the following two lines must be filled in by the customer.</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"Group" column has been filled in with system number for all lines in the EDE file.</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Same number/name for all objects in the same system.</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"Room" column has been filled in for all objects/lines belonging to room control/zone control.</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Same room designation for all objects in the same room/zone.</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For all objects indicating an alarm, the alarm level has been specified as "A", "B" or "C". Must also be filled in on lines where "Include Attri." is set to "1".</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A for A-alarm, B for B-alarm and C for C-alarm. A-alarm is the highest level and is normally sent by SMS. C-alarm is the lowest level.</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If any binary alarms are NC (normally closed), these must be listed in a separate overview.</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Active alarm when Present value is binary "0".</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Present value on multistate objects is not used for alarm status, operating status or similar.</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If so, consult Kiona to see if it is possible to transform the data in the IWMAC system.</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 binary data point has been provided for acknowledging/resetting alarms for the individual systems.</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The point should automatically return to the "resting position" after being activated.</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IWMAC top system calendars are used, linked to the following object: ___________________________</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Object type and ID or data point name for linking in substation, one per IWMAC top system calendar. Objects can be binary or multistate. If Kiona is to set the times, these must also be specified in advance.</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EDE and state texts have been submitted in CSV format.</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See example template for state texts: IWMAC TEMPLATE 04 – BACnet StateTexts.csv</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Large network with multiple subnets/IP ranges: Topology submitted.</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