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1 – Design og integrationsvejledning</w:t>
      </w: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1.1 – Formål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Denne vejledning er udarbejdet for at sikre det bedst mulige resultat i leverancen fra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. Vejledningen giver oplysninger om det nødvendige underlag for automationsleverancen. Leverancen inkluderer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overordnet system og tilhørende tillægstjenester. Bilagene beskriver behovet for underlag i leverancen med specifikke detaljer for bestemte anlægstyper og protokoller.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Alle eksempler og skabeloner er tilgængelige på vores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>-certificerede partneres hjemmesider.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Kan du ikke finde en skabelon, så kontakt din kontaktperson hos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i salg eller leverance.</w:t>
      </w:r>
    </w:p>
    <w:p>
      <w:pPr>
        <w:spacing w:after="0"/>
      </w:pP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1.2 – Netværk/IKT-infrastruktur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Når leverancen er bestilt, sendes en installationsserver fra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>. For at leverancen kan starte, skal der etableres kontakt med den udsendte installationsserver i god tid inden den planlagte opstart. Påbegynd de nødvendige forberedelser, så netværket er klar i tide.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Det er vigtigt, at kunden tidligt afklarer med slutkunden, om installationsserveren skal kommunikere med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-skyen via direkte internetforbindelse eller VPN. Når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har modtaget oplysningerne fra kunden, bestiller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den korrekte opsætning hos sin netværksleverandør.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Når leverancen påbegyndes, modtager du en standardformular for internet- og VPN-forbindelse, der beskriver de oplysninger,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har brug for, samt den konfiguration, slutkunden skal udføre for at installationsserveren kan komme online.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ikke påbegynde arbejdet, før formularerne er returneret og de beskrevne indstillinger er bekræftet.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En installationsserver leveres med to netværkskort.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skal tildeles to netværksforbindelser – dette er vigtige oplysninger, kunden skal indhente. Det anbefales, at én grænseflade reserveres til internetforbindelse og holdes adskilt fra det tekniske netværk. Den anden grænseflade tilsluttes det tekniske netværk.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Konvertere leveret af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konfigureres som en del af leverancen, når de nødvendige oplysninger er overleveret. For konvertere ikke leveret af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hjælpe med konfigurering og installation på installations-PC'en. Denne service er ikke inkluderet i leverancen og vil blive håndteret som et tillægsvalg.</w:t>
      </w:r>
    </w:p>
    <w:p>
      <w:pPr>
        <w:spacing w:after="0"/>
      </w:pP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1.3 – Topologi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etablere kommunikationsforbindelse med alle automationsenheder har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brug for en komplet topologi, der lister alle nødvendige netværksoplysninger.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er afhængig af at modtage al information om serie-til-netværks-konvertere med en tilhørende oversigt over, hvilke automationsenheder der er tilsluttet de forskellige porte.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Se følgende eksempler: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Grafik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IWMAC SKABELON 12 – Topologi.png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IWMAC SKABELON 13 – Topologi (gliffy)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Excel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  <w:i/>
        </w:rPr>
        <w:t>IWMAC SKABELON 11 – Topologi IP og seriekonvertere.xltx</w:t>
      </w:r>
    </w:p>
    <w:p>
      <w:pPr>
        <w:spacing w:after="0"/>
      </w:pPr>
    </w:p>
    <w:p>
      <w:pPr>
        <w:pStyle w:val="ListParagraph"/>
      </w:pPr>
      <w:r>
        <w:t xml:space="preserve">Excel: Simpel skabelon til enheder på IP, avanceret skabelon til begge – Kiona Skabelon 10 / Kiona Skabelon 11</w:t>
      </w: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1.4 – Parameterlister, tagnavne og beskrivelser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IWMAC</w:t>
      </w:r>
      <w:r>
        <w:rPr>
          <w:rFonts w:ascii="Arial" w:hAnsi="Arial" w:cs="Arial"/>
          <w:sz w:val="22"/>
          <w:szCs w:val="22"/>
        </w:rPr>
        <w:t xml:space="preserve"> anvender navne og beskrivelser modtaget i underlaget/dokumentationen fra kunden. I visse tilfælde kan dette læses af scannere direkte fra udstyret. 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give slutbrugere læsbare og lokaliserbare tagnavne, skal datalister indeholde de nødvendige oplysninger og en struktur, der giver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mulighed for at opbygge tagdatabaserne korrekt.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Her er nogle generelle retningslinjer: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Kiona forudsætter, at et systemnummer og et tværfagligt mærkningssystem (TFM) komponentkode er angivet for hver parameter-/taglinje samt en enkel parameterbeskrivelse, enten per fysisk komponent eller per funktion.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For rumstyring skal det være muligt at adskille hvert rum, etage og om nødvendigt bygning eller fløj.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Alle lignende funktioner i hvert rum skal have den samme funktionskode.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For overordnede centralkomponenter og zonebegrænsede funktioner skal zone-/gruppetildeling angives for hver parameterlinje.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For lister, der omhandler en enhed, som kun betjener ét systemnummer, kan systemnummeret udelades.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IWMAC</w:t>
      </w:r>
      <w:r>
        <w:rPr>
          <w:rFonts w:ascii="Arial" w:hAnsi="Arial" w:cs="Arial"/>
          <w:sz w:val="22"/>
          <w:szCs w:val="22"/>
        </w:rPr>
        <w:t xml:space="preserve">-komponentkodestandarden bruges i billeder, medmindre andet er aftalt, eller hvis komponentkoder ikke er i taglisten eller det tilhørende systemskema. Alt underlag skal være konsistent i tegnkodning, så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identificere komponenttildelingerne.</w:t>
      </w:r>
    </w:p>
    <w:p>
      <w:pPr>
        <w:spacing w:after="0"/>
      </w:pPr>
    </w:p>
    <w:p>
      <w:pPr>
        <w:pStyle w:val="Normal"/>
      </w:pPr>
      <w:r>
        <w:t xml:space="preserve">For BACnet-objekter kan TFM-kodning typisk indgå i selve objektnavnet, mens beskrivelsen placeres i attributten “description”. Anden strukturering er også mulig, så længe taggen indeholder alle nødvendige oplysninger og den struktur, der er beskrevet ovenfor.</w:t>
      </w:r>
    </w:p>
    <w:p>
      <w:pPr>
        <w:pStyle w:val="Normal"/>
      </w:pPr>
      <w:r>
        <w:t xml:space="preserve">I Modbus-, KNX-, OPC-, N2- og tilsvarende taglister kan typisk både TFM-kodning og beskrivelse indgå i én og samme tekst. Det er da vigtigt, at strukturen er ens for alle linjer med systemkomponentfunktionskode i fast rækkefølge med faste skilletegn samt beskrivelse til sidst.</w:t>
      </w:r>
    </w:p>
    <w:p>
      <w:pPr>
        <w:pStyle w:val="ListParagraph"/>
      </w:pPr>
      <w:r>
        <w:t xml:space="preserve">R201_SQ501_spjv – Aftræk VAV1 spjeldvinkel</w:t>
      </w:r>
    </w:p>
    <w:p>
      <w:pPr>
        <w:pStyle w:val="ListParagraph"/>
      </w:pPr>
      <w:r>
        <w:t xml:space="preserve">R201_SQ402_lm – Tilluft VAV2 luftmængde</w:t>
      </w:r>
    </w:p>
    <w:p>
      <w:pPr>
        <w:pStyle w:val="ListParagraph"/>
      </w:pPr>
      <w:r>
        <w:t xml:space="preserve">R201_SQ401_lm – Tilluft VAV1 luftmængde</w:t>
      </w:r>
    </w:p>
    <w:p>
      <w:pPr>
        <w:pStyle w:val="ListParagraph"/>
      </w:pPr>
      <w:r>
        <w:t xml:space="preserve">R201_HVlv – Varmepådrag</w:t>
      </w:r>
    </w:p>
    <w:p>
      <w:pPr>
        <w:pStyle w:val="ListParagraph"/>
      </w:pPr>
      <w:r>
        <w:t xml:space="preserve">R201_BasSetp – Grundsettpunkt</w:t>
      </w:r>
    </w:p>
    <w:p>
      <w:pPr>
        <w:pStyle w:val="ListParagraph"/>
      </w:pPr>
      <w:r>
        <w:t xml:space="preserve">R201_Erverdi – Rumtemperatur</w:t>
      </w:r>
    </w:p>
    <w:p>
      <w:pPr>
        <w:pStyle w:val="Heading3"/>
      </w:pPr>
      <w:r>
        <w:t xml:space="preserve">Eksempel for rum:</w:t>
      </w:r>
    </w:p>
    <w:p>
      <w:pPr>
        <w:pStyle w:val="ListParagraph"/>
      </w:pPr>
      <w:r>
        <w:t xml:space="preserve">360.001 RT401 Beregnet settpunkt  eller  bygningsnr._360001_RT401_ASP arb. settpunkt</w:t>
      </w:r>
    </w:p>
    <w:p>
      <w:pPr>
        <w:pStyle w:val="ListParagraph"/>
      </w:pPr>
      <w:r>
        <w:t xml:space="preserve">360.001 RT401 Tillufttemperatur  eller  bygningsnr._360001_RT401_PV Tillufttemperatur</w:t>
      </w:r>
    </w:p>
    <w:p>
      <w:pPr>
        <w:pStyle w:val="Heading3"/>
      </w:pPr>
      <w:r>
        <w:t xml:space="preserve">Eksempel for temperaturføler (procesværdi) og parameter for beregnet settpunkt:</w:t>
      </w:r>
    </w:p>
    <w:p>
      <w:pPr>
        <w:pStyle w:val="Normal"/>
      </w:pPr>
      <w:r>
        <w:t xml:space="preserve">Kionas komponentkodestandard vil blive brugt i billeder, medmindre andet er aftalt, eller hvis komponentkoder ikke findes i taglisten eller tilhørende systemskitse. Al dokumentation skal være konsistent i tegnkodning, for at Kiona kan identificere komponenternes tilhørighed.</w:t>
      </w:r>
    </w:p>
    <w:p>
      <w:pPr>
        <w:pStyle w:val="Rubrik2"/>
        <w:spacing w:before="200" w:after="100"/>
      </w:pPr>
      <w:r>
        <w:rPr>
          <w:rFonts w:ascii="Arial" w:hAnsi="Arial" w:cs="Arial"/>
          <w:sz w:val="26"/>
          <w:szCs w:val="26"/>
          <w:b/>
          <w:bCs/>
        </w:rPr>
        <w:t>1.5 – Parameterlister, alarmfunktionalitet og skriveadgang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skal direkte i tagdatabasen specificere, hvilke punkter der er læsbare og/eller skrivbare. Det samme gælder for alarmniveauangivelse for punkter, der er beregnet til at generere alarm.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IWMAC</w:t>
      </w:r>
      <w:r>
        <w:rPr>
          <w:rFonts w:ascii="Arial" w:hAnsi="Arial" w:cs="Arial"/>
          <w:sz w:val="22"/>
          <w:szCs w:val="22"/>
        </w:rPr>
        <w:t xml:space="preserve"> kræver normalt kun digitale alarmer i databasen. Ønsker kunden at generere alarmer på multistate (heltal) eller flydende kommaværdier, kræves afklaring med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>s leveranceansvarlig om dette er muligt og hvilke konsekvenser det kan have.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Se det specifikke protokolbilag for en oversigt over de oplysninger,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har brug for vedrørende, om punkter skal være skrivbare eller definere alarmpunkter, samt det tilhørende alarmniveau.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9360"/>
      </w:tblGrid>
      <w:tr>
        <w:tc>
          <w:tcPr>
            <w:tcW w:w="936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IWMAC-tjeklister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2.1 – IWMAC Tjekliste – BACnet.docx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2.2 – IWMAC Tjekliste – Modbus.docx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2.3 – IWMAC Tjekliste – N2-Open.docx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2.4 – IWMAC Tjekliste – KNX.docx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2.5 – IWMAC Tjekliste – OPC.docx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3.1 – IWMAC Tjekliste – Ventilation.docx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3.2 – IWMAC Tjekliste – Varme- og kølesystemer.docx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3.3 – IWMAC Tjekliste – Rumstyring.docx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3.4 – IWMAC Tjekliste – Teknisk og elektrisk.docx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3.5 – IWMAC Tjekliste – Energirapport.docx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3.6 – IWMAC Tjekliste – EOS (Energiovervågningssystem).docx</w:t>
            </w:r>
          </w:p>
        </w:tc>
      </w:tr>
    </w:tbl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9360"/>
      </w:tblGrid>
      <w:tr>
        <w:tc>
          <w:tcPr>
            <w:tcW w:w="936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IWMAC-skabeloner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SKABELON 01 – Energirapport.xltx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SKABELON 02 – Tekniske signaler.xltx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SKABELON 03 – BACnet EDE.csv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SKABELON 04 – BACnet StateTexts.csv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SKABELON 05 – DX9100.xltx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SKABELON 06 – EOS.xltx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SKABELON 07 – FX15.xltx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SKABELON 08 – Modbus.xltx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SKABELON 09 – Rumliste.xltx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SKABELON 10 – Enkel topologi, kun IP.xltx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SKABELON 11 – Topologi IP og seriekonvertere.xltx</w:t>
            </w:r>
          </w:p>
        </w:tc>
      </w:tr>
      <w:tr>
        <w:tc>
          <w:tcPr>
            <w:tcW w:w="9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SKABELON 12 – Topologi.png</w:t>
            </w:r>
          </w:p>
        </w:tc>
      </w:tr>
      <w:tr>
        <w:tc>
          <w:tcPr>
            <w:tcW w:w="9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IWMAC SKABELON 13 – Topologi (gliffy)</w:t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