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Tjekliste – Varme- og kølesystemer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sikre, at den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-visualisering, vi leverer, er korrekt, skal vi modtage tilstrækkelig og nøjagtig dokumentation.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designer billeder efter sin standard, der afspejler varmeanlæggets struktur i henhold til PI-diagrammet. IWMAC-standardmærkning er det tværfaglige mærkningssystem (TFM) med 3 cifre.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Varme- og kølesystemer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Enhed:___________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Systemskitse med alle komponentkoder er afsendt Kiona, med "som bygget" komponentplacering.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Koder i systemskitsen genfindes i parameterlisten.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Funktionsbeskrivelse med de ønskede oplysninger er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tjekliste for kommunikationsprotokol er ivaretaget.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ekstrafunktioner som vejrudsigt, effektvagt, måleværdifordeling, alarmfunktioner o.l. fremgår af skriftligt underlag.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at bestille smarte funktioner om nødvendigt.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