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1 – Suunnittelu- ja integrointiopas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1.1 – Tarkoitus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Tämä opas on laadittu varmistamaan paras mahdollinen tulos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n toimituksessa. Opas sisältää tietoa automaatiotoimitusten edellyttämästä aineistosta. Toimitus sisältää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yläjärjestelmän ja siihen liittyvät lisäpalvelut. Liitteet kuvaavat toimituksen tarvitsemaa aineistoa tiettyjen asennustyyppien ja protokollien osalta.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Kaikki esimerkit ja mallit ovat saatavilla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-sertifioitujen kumppaniemme verkkosivuilla.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Jos et löydä mallia, ota yhteyttä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n yhteyshenkilöösi myynti- tai toimitusosastolla.</w:t>
      </w:r>
    </w:p>
    <w:p>
      <w:pPr>
        <w:spacing w:after="0"/>
      </w:pP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1.2 – Verkko/ICT-infrastruktuuri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Kun toimitus on tilattu,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lähettää asennuspalvelimen. Toimituksen käynnistämiseksi asennuspalvelimeen on otettava yhteyttä hyvissä ajoin ennen suunniteltua käyttöönottoa. Aloita tarvittavat valmistelut, jotta verkko on valmis ajoissa.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On tärkeää, että asiakas selvittää loppuasiakkaan kanssa varhaisessa vaiheessa, kommunikoiko asennuspalvelin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-pilven kanssa suoran internet-yhteyden vai VPN:n kautta. Kun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on saanut tiedot asiakkaalta,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tilaa oikean kokoonpanon omalta verkkoleverandöriltaan.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Kun toimitus alkaa, saat vakiolomakkeen internet- ja VPN-yhteydelle, jossa kerrotaan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n tarvitsemat tiedot sekä kokoonpano, jonka loppuasiakas on tehtävä asennuspalvelimen online-saattamiseksi.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ei voi aloittaa työtä ennen kuin lomakkeet on palautettu ja kuvattujen asetusten on vahvistettu olevan kunnossa.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Asennuspalvelin toimitetaan kahdella verkkokortilla.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lle on osoitettava kaksi verkkoyhteyttä – tämä on tärkeä tieto, jonka asiakkaan on hankittava. On suositeltavaa, että yksi liitäntä varataan internet-yhteydelle ja pidetään erillään teknisestä verkosta. Toinen liitäntä kytketään tekniseen verkkoon.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n toimittamat muuntimet konfiguroidaan osana toimitusta, kun tarvittavat tiedot on luovutettu.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n toimittamattomien muuntimien osalta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auttaa näiden konfiguroinnissa ja asennuksessa asennus-PC:lle. Tämä palvelu ei sisälly toimitukseen ja se käsitellään lisäoptiona.</w:t>
      </w:r>
    </w:p>
    <w:p>
      <w:pPr>
        <w:spacing w:after="0"/>
      </w:pP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1.3 – Topologia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Kommunikaatioyhteyden muodostamiseksi kaikkiin automaatiolaitteisiin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tarvitsee täydellisen topologian, jossa luetellaan kaikki tarvittavat verkkoitiedot.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on riippuvainen siitä, että se saa kaikki tiedot sarja-verkko-muuntimista sekä yhteenvedon siitä, mitkä automaatiolaitteet on kytketty eri portteihin.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Katso seuraavat esimerkit: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Grafik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MALLI 12 – Topologia.png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MALLI 13 – Topologia (gliffy)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Excel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MALLI 11 – Topologia IP ja sarjamuuntimet.xltx</w:t>
      </w:r>
    </w:p>
    <w:p>
      <w:pPr>
        <w:spacing w:after="0"/>
      </w:pPr>
    </w:p>
    <w:p>
      <w:pPr>
        <w:pStyle w:val="ListParagraph"/>
      </w:pPr>
      <w:r>
        <w:t xml:space="preserve">Excel: Yksinkertainen malli IP-laitteille, edistynyt malli – Kiona Malli 10 / Kiona Malli 11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1.4 – Parametrilistat, täginimet ja kuvaukset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 käyttää nimiä ja kuvauksia, jotka on vastaanotettu asiakkaan toimittamassa aineistossa. Tietyissä tapauksissa nämä voidaan lukea skannereilla suoraan laitteesta. 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tarjota loppukäyttäjille luettavia ja lokalisoitavia tägimimiä, dataluetteloiden on sisällettävä tarvittavat tiedot ja rakenne, jonka avulla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rakentaa tägitietokannat oikein.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Tässä joitakin yleisiä ohjeita: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Kiona olettaa, että jokaiselle parametri-/tägiriville on merkitty järjestelmänumero ja monitieteinen merkintäjärjestelmä (TFM) komponenttikoodi sekä yksinkertainen parametrikuvaus, joko fyysisen komponentin tai toiminnon mukaan.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Huoneohjauksen osalta on voitava erottaa jokainen huone, kerros ja tarvittaessa rakennus tai siipi.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Kaikille samanlaisille toiminnoille kussakin huoneessa on annettava sama toimintokoodi.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Ylemmän tason keskuskomponenteille ja vyöhykerajatuille toiminnoille on osoitettava vyöhyke-/ryhmätilaus jokaiselle parameterriville.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Luetteloissa, jotka koskevat laitetta, joka palvelee vain yhtä järjestelmänumeroa, järjestelmänumero voidaan jättää pois.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-komponenttikoodistandardia käytetään kuvissa, ellei toisin ole sovittu tai jos komponenttikoodeja ei ole tägililuettelossa tai siihen liittyvässä järjestelmäkaaviossa. Kaiken aineiston on oltava johdonmukaista merkkikoodauksen suhteen, 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tunnistaa komponenttien liitynnät.</w:t>
      </w:r>
    </w:p>
    <w:p>
      <w:pPr>
        <w:spacing w:after="0"/>
      </w:pPr>
    </w:p>
    <w:p>
      <w:pPr>
        <w:pStyle w:val="Normal"/>
      </w:pPr>
      <w:r>
        <w:t xml:space="preserve">BACnet-objekteille TFM-koodaus voidaan usein sisällyttää itse objektin nimeen, kun taas kuvaus liitetään “description”-attribuuttiin. Muunlainen rakenne on myös mahdollinen, kunhan tagi sisältää kaikki tarvittavat tiedot ja aiemmin kuvatun rakenteen.</w:t>
      </w:r>
    </w:p>
    <w:p>
      <w:pPr>
        <w:pStyle w:val="Normal"/>
      </w:pPr>
      <w:r>
        <w:t xml:space="preserve">Modbus-, KNX-, OPC-, N2- ja vastaavissa tagilistoissa sekä TFM-koodaus että kuvaus voivat tyypillisesti olla osa yhtä ja samaa tekstiä. On tärkeää, että rakenne on sama kaikilla riveillä, järjestelmäkomponenttitoimintokoodin kanssa kiinteässä järjestyksessä – kiinteillä erottimilla ensin ja kuvauksen lopussa.</w:t>
      </w:r>
    </w:p>
    <w:p>
      <w:pPr>
        <w:pStyle w:val="ListParagraph"/>
      </w:pPr>
      <w:r>
        <w:t xml:space="preserve">R201_SQ501_spjv – Poistoilma VAV1 pellin kulma</w:t>
      </w:r>
    </w:p>
    <w:p>
      <w:pPr>
        <w:pStyle w:val="ListParagraph"/>
      </w:pPr>
      <w:r>
        <w:t xml:space="preserve">R201_SQ402_lm – Tuloilma VAV2 ilmavirta</w:t>
      </w:r>
    </w:p>
    <w:p>
      <w:pPr>
        <w:pStyle w:val="ListParagraph"/>
      </w:pPr>
      <w:r>
        <w:t xml:space="preserve">R201_SQ401_lm – Tuloilma VAV1 ilmavirta</w:t>
      </w:r>
    </w:p>
    <w:p>
      <w:pPr>
        <w:pStyle w:val="ListParagraph"/>
      </w:pPr>
      <w:r>
        <w:t xml:space="preserve">R201_HVlv – Lämmitysohjaus</w:t>
      </w:r>
    </w:p>
    <w:p>
      <w:pPr>
        <w:pStyle w:val="ListParagraph"/>
      </w:pPr>
      <w:r>
        <w:t xml:space="preserve">R201_BasSetp – Perusasetusarvo</w:t>
      </w:r>
    </w:p>
    <w:p>
      <w:pPr>
        <w:pStyle w:val="ListParagraph"/>
      </w:pPr>
      <w:r>
        <w:t xml:space="preserve">R201_Erverdi – Huonelämpötila</w:t>
      </w:r>
    </w:p>
    <w:p>
      <w:pPr>
        <w:pStyle w:val="Heading3"/>
      </w:pPr>
      <w:r>
        <w:t xml:space="preserve">Esimerkki huoneille:</w:t>
      </w:r>
    </w:p>
    <w:p>
      <w:pPr>
        <w:pStyle w:val="ListParagraph"/>
      </w:pPr>
      <w:r>
        <w:t xml:space="preserve">360.001 RT401 Laskettu asetusarvo  tai  rakennusnro._360001_RT401_ASP työ. asetusarvo</w:t>
      </w:r>
    </w:p>
    <w:p>
      <w:pPr>
        <w:pStyle w:val="ListParagraph"/>
      </w:pPr>
      <w:r>
        <w:t xml:space="preserve">360.001 RT401 Tuloilman lämpötila  tai  rakennusnro._360001_RT401_PV Tuloilman lämpötila</w:t>
      </w:r>
    </w:p>
    <w:p>
      <w:pPr>
        <w:pStyle w:val="Heading3"/>
      </w:pPr>
      <w:r>
        <w:t xml:space="preserve">Esimerkki lämpötila-anturille (prosessiarvo) ja lasketulle asetusarvolle:</w:t>
      </w:r>
    </w:p>
    <w:p>
      <w:pPr>
        <w:pStyle w:val="Normal"/>
      </w:pPr>
      <w:r>
        <w:t xml:space="preserve">Kionan komponenttikoodistandardia käytetään kuvissa, ellei toisin sovita tai jos komponenttikoodeja ei löydy tagilistasta tai siihen liittyvästä järjestelmäkaaviosta. Kaiken dokumentaation on oltava johdonmukainen merkistökoodauksen suhteen, jotta Kiona voi tunnistaa komponenttien kuuluvuuden.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1.5 – Parametrilistat, hälytystoiminnot ja kirjoitusoikeudet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täytyy määrittää suoraan tägitietokantaan, mitkä kohteet ovat luettavia ja/tai kirjoitettavia. Sama koskee hälytystasoilmaisua pisteitä, joiden on tarkoitus tuottaa hälytyksiä.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 vaatii normaalisti vain digitaalisia hälytyksiä tietokantaan. Jos asiakas haluaa tuottaa hälytyksiä multistate- (kokonaisluku) tai liukulukuarvoista, tarvitaan selvitys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n toimitusvastaavan kanssa siitä, onko tämä mahdollista ja mitä seurauksia sillä voi olla.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Katso erityinen protokollaliite saadaksesi yleiskuvan tiedoista, joita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tarvitsee siitä, tuleeko pisteiden olla kirjoitettavia tai hälytyksiä, sekä niihin liittyvistä hälytystasoista.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9360"/>
      </w:tblGrid>
      <w:tr>
        <w:tc>
          <w:tcPr>
            <w:tcW w:w="93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IWMAC-tarkistuslistat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2.1 – IWMAC Tarkistuslista – BACnet.docx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2.2 – IWMAC Tarkistuslista – Modbus.docx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2.3 – IWMAC Tarkistuslista – N2-Open.docx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2.4 – IWMAC Tarkistuslista – KNX.docx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2.5 – IWMAC Tarkistuslista – OPC.docx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3.1 – IWMAC Tarkistuslista – Ilmanvaihto.docx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3.2 – IWMAC Tarkistuslista – Lämmitys- ja jäähdytysjärjestelmät.docx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3.3 – IWMAC Tarkistuslista – Huoneohjaus.docx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3.4 – IWMAC Tarkistuslista – Tekninen ja sähkö.docx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3.5 – IWMAC Tarkistuslista – Energiaraportti.docx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3.6 – IWMAC Tarkistuslista – EOS (Energianseurantajärjestelmä).docx</w:t>
            </w:r>
          </w:p>
        </w:tc>
      </w:tr>
    </w:tbl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9360"/>
      </w:tblGrid>
      <w:tr>
        <w:tc>
          <w:tcPr>
            <w:tcW w:w="93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IWMAC-mallit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01 – Energiaraportti.xltx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02 – Tekniset signaalit.xltx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03 – BACnet EDE.csv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04 – BACnet StateTexts.csv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05 – DX9100.xltx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06 – EOS.xltx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07 – FX15.xltx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08 – Modbus.xltx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09 – Huoneluettelo.xltx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10 – Yksinkertainen topologia, vain IP.xltx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11 – Topologia IP ja sarjamuuntimet.xltx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12 – Topologia.png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MALLI 13 – Topologia (gliffy)</w:t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